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CED29">
      <w:pPr>
        <w:pStyle w:val="35"/>
        <w:rPr>
          <w:rStyle w:val="36"/>
          <w:rFonts w:hint="eastAsia" w:ascii="宋体" w:hAnsi="宋体" w:eastAsia="宋体" w:cs="宋体"/>
          <w:b/>
          <w:color w:val="auto"/>
          <w:sz w:val="44"/>
          <w:szCs w:val="44"/>
          <w:lang w:eastAsia="zh-CN"/>
        </w:rPr>
      </w:pPr>
      <w:bookmarkStart w:id="166" w:name="_GoBack"/>
      <w:bookmarkEnd w:id="166"/>
    </w:p>
    <w:p w14:paraId="45EA9801">
      <w:pPr>
        <w:pStyle w:val="35"/>
        <w:rPr>
          <w:rStyle w:val="36"/>
          <w:rFonts w:hint="eastAsia" w:ascii="宋体" w:hAnsi="宋体" w:eastAsia="宋体" w:cs="宋体"/>
          <w:b/>
          <w:color w:val="auto"/>
          <w:sz w:val="40"/>
          <w:szCs w:val="40"/>
          <w:lang w:eastAsia="zh-CN"/>
        </w:rPr>
      </w:pPr>
    </w:p>
    <w:p w14:paraId="550AF749">
      <w:pPr>
        <w:pStyle w:val="35"/>
        <w:spacing w:line="360" w:lineRule="auto"/>
        <w:jc w:val="center"/>
        <w:rPr>
          <w:rFonts w:hint="eastAsia" w:ascii="宋体" w:hAnsi="宋体" w:eastAsia="宋体" w:cs="宋体"/>
          <w:color w:val="auto"/>
          <w:sz w:val="21"/>
          <w:szCs w:val="21"/>
        </w:rPr>
      </w:pPr>
      <w:r>
        <w:rPr>
          <w:rStyle w:val="36"/>
          <w:rFonts w:hint="eastAsia" w:ascii="宋体" w:hAnsi="宋体" w:cs="宋体"/>
          <w:b/>
          <w:color w:val="auto"/>
          <w:sz w:val="44"/>
          <w:szCs w:val="44"/>
          <w:highlight w:val="none"/>
          <w:lang w:eastAsia="zh-CN"/>
        </w:rPr>
        <w:t>界首市乐居振兴建设发展有限公司界首市居家社区养老服务网络提升项目设计</w:t>
      </w:r>
    </w:p>
    <w:p w14:paraId="5663C44E">
      <w:pPr>
        <w:pStyle w:val="35"/>
        <w:rPr>
          <w:rFonts w:hint="eastAsia" w:ascii="宋体" w:hAnsi="宋体" w:eastAsia="宋体" w:cs="宋体"/>
          <w:color w:val="auto"/>
        </w:rPr>
      </w:pPr>
    </w:p>
    <w:p w14:paraId="34B5395C">
      <w:pPr>
        <w:pStyle w:val="35"/>
        <w:rPr>
          <w:rFonts w:hint="eastAsia" w:ascii="宋体" w:hAnsi="宋体" w:eastAsia="宋体" w:cs="宋体"/>
          <w:color w:val="auto"/>
        </w:rPr>
      </w:pPr>
    </w:p>
    <w:p w14:paraId="5D4BEDF2">
      <w:pPr>
        <w:pStyle w:val="35"/>
        <w:rPr>
          <w:rFonts w:hint="eastAsia" w:ascii="宋体" w:hAnsi="宋体" w:eastAsia="宋体" w:cs="宋体"/>
          <w:color w:val="auto"/>
        </w:rPr>
      </w:pPr>
    </w:p>
    <w:p w14:paraId="2EF3A20D">
      <w:pPr>
        <w:pStyle w:val="35"/>
        <w:rPr>
          <w:rFonts w:hint="eastAsia" w:ascii="宋体" w:hAnsi="宋体" w:eastAsia="宋体" w:cs="宋体"/>
          <w:color w:val="auto"/>
        </w:rPr>
      </w:pPr>
    </w:p>
    <w:p w14:paraId="7A06110B">
      <w:pPr>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竞争性磋商文件</w:t>
      </w:r>
    </w:p>
    <w:p w14:paraId="1B38C988">
      <w:pPr>
        <w:jc w:val="center"/>
        <w:rPr>
          <w:rFonts w:hint="eastAsia" w:ascii="宋体" w:hAnsi="宋体" w:eastAsia="宋体" w:cs="宋体"/>
          <w:b/>
          <w:color w:val="auto"/>
          <w:sz w:val="32"/>
          <w:szCs w:val="32"/>
        </w:rPr>
      </w:pPr>
    </w:p>
    <w:p w14:paraId="0B884145">
      <w:pPr>
        <w:ind w:firstLine="2707" w:firstLineChars="846"/>
        <w:rPr>
          <w:rFonts w:hint="eastAsia" w:ascii="宋体" w:hAnsi="宋体" w:eastAsia="宋体" w:cs="宋体"/>
          <w:color w:val="auto"/>
          <w:sz w:val="32"/>
          <w:szCs w:val="32"/>
        </w:rPr>
      </w:pPr>
    </w:p>
    <w:p w14:paraId="701B66AE">
      <w:pPr>
        <w:pStyle w:val="23"/>
        <w:rPr>
          <w:rFonts w:hint="eastAsia" w:ascii="宋体" w:hAnsi="宋体" w:eastAsia="宋体" w:cs="宋体"/>
          <w:color w:val="auto"/>
        </w:rPr>
      </w:pPr>
    </w:p>
    <w:p w14:paraId="0F8A52D5">
      <w:pPr>
        <w:ind w:firstLine="2707" w:firstLineChars="846"/>
        <w:rPr>
          <w:rFonts w:hint="eastAsia" w:ascii="宋体" w:hAnsi="宋体" w:eastAsia="宋体" w:cs="宋体"/>
          <w:color w:val="auto"/>
          <w:sz w:val="32"/>
          <w:szCs w:val="32"/>
        </w:rPr>
      </w:pPr>
    </w:p>
    <w:p w14:paraId="642430DD">
      <w:pPr>
        <w:ind w:firstLine="2707" w:firstLineChars="846"/>
        <w:rPr>
          <w:rFonts w:hint="eastAsia" w:ascii="宋体" w:hAnsi="宋体" w:eastAsia="宋体" w:cs="宋体"/>
          <w:color w:val="auto"/>
          <w:sz w:val="32"/>
          <w:szCs w:val="32"/>
        </w:rPr>
      </w:pPr>
    </w:p>
    <w:p w14:paraId="5492AF83">
      <w:pPr>
        <w:ind w:firstLine="2707" w:firstLineChars="846"/>
        <w:rPr>
          <w:rFonts w:hint="eastAsia" w:ascii="宋体" w:hAnsi="宋体" w:eastAsia="宋体" w:cs="宋体"/>
          <w:color w:val="auto"/>
          <w:sz w:val="32"/>
          <w:szCs w:val="32"/>
        </w:rPr>
      </w:pPr>
    </w:p>
    <w:p w14:paraId="0151147A">
      <w:pPr>
        <w:ind w:firstLine="2707" w:firstLineChars="846"/>
        <w:rPr>
          <w:rFonts w:hint="eastAsia" w:ascii="宋体" w:hAnsi="宋体" w:eastAsia="宋体" w:cs="宋体"/>
          <w:color w:val="auto"/>
          <w:sz w:val="32"/>
          <w:szCs w:val="32"/>
        </w:rPr>
      </w:pPr>
      <w:r>
        <w:rPr>
          <w:rFonts w:hint="eastAsia" w:ascii="宋体" w:hAnsi="宋体" w:eastAsia="宋体" w:cs="宋体"/>
          <w:color w:val="auto"/>
          <w:sz w:val="32"/>
          <w:szCs w:val="32"/>
        </w:rPr>
        <w:t xml:space="preserve"> </w:t>
      </w:r>
    </w:p>
    <w:p w14:paraId="05B9B524">
      <w:pPr>
        <w:pStyle w:val="35"/>
        <w:rPr>
          <w:rFonts w:hint="eastAsia" w:ascii="宋体" w:hAnsi="宋体" w:eastAsia="宋体" w:cs="宋体"/>
          <w:color w:val="auto"/>
        </w:rPr>
      </w:pPr>
    </w:p>
    <w:p w14:paraId="288D16AD">
      <w:pPr>
        <w:pStyle w:val="35"/>
        <w:rPr>
          <w:rFonts w:hint="eastAsia" w:ascii="宋体" w:hAnsi="宋体" w:eastAsia="宋体" w:cs="宋体"/>
          <w:color w:val="auto"/>
        </w:rPr>
      </w:pPr>
    </w:p>
    <w:p w14:paraId="114FD4CA">
      <w:pPr>
        <w:pStyle w:val="35"/>
        <w:rPr>
          <w:rFonts w:hint="eastAsia" w:ascii="宋体" w:hAnsi="宋体" w:eastAsia="宋体" w:cs="宋体"/>
          <w:color w:val="auto"/>
        </w:rPr>
      </w:pPr>
    </w:p>
    <w:p w14:paraId="294C422A">
      <w:pPr>
        <w:pStyle w:val="35"/>
        <w:rPr>
          <w:rFonts w:hint="eastAsia" w:ascii="宋体" w:hAnsi="宋体" w:eastAsia="宋体" w:cs="宋体"/>
          <w:color w:val="auto"/>
        </w:rPr>
      </w:pPr>
    </w:p>
    <w:p w14:paraId="02D1676C">
      <w:pPr>
        <w:pStyle w:val="35"/>
        <w:rPr>
          <w:rFonts w:hint="eastAsia" w:ascii="宋体" w:hAnsi="宋体" w:eastAsia="宋体" w:cs="宋体"/>
          <w:color w:val="auto"/>
        </w:rPr>
      </w:pPr>
    </w:p>
    <w:p w14:paraId="4FF16608">
      <w:pPr>
        <w:pStyle w:val="35"/>
        <w:rPr>
          <w:rFonts w:hint="eastAsia" w:ascii="宋体" w:hAnsi="宋体" w:eastAsia="宋体" w:cs="宋体"/>
          <w:color w:val="auto"/>
        </w:rPr>
      </w:pPr>
    </w:p>
    <w:p w14:paraId="62E36D0C">
      <w:pPr>
        <w:pStyle w:val="35"/>
        <w:rPr>
          <w:rFonts w:hint="eastAsia" w:ascii="宋体" w:hAnsi="宋体" w:eastAsia="宋体" w:cs="宋体"/>
          <w:color w:val="auto"/>
        </w:rPr>
      </w:pPr>
    </w:p>
    <w:p w14:paraId="06F866BF">
      <w:pPr>
        <w:pStyle w:val="35"/>
        <w:rPr>
          <w:rFonts w:hint="eastAsia" w:ascii="宋体" w:hAnsi="宋体" w:eastAsia="宋体" w:cs="宋体"/>
          <w:color w:val="auto"/>
        </w:rPr>
      </w:pPr>
    </w:p>
    <w:p w14:paraId="4B5B940A">
      <w:pPr>
        <w:rPr>
          <w:rFonts w:hint="eastAsia" w:ascii="宋体" w:hAnsi="宋体" w:eastAsia="宋体" w:cs="宋体"/>
          <w:color w:val="auto"/>
          <w:sz w:val="32"/>
          <w:szCs w:val="32"/>
        </w:rPr>
      </w:pPr>
    </w:p>
    <w:p w14:paraId="32AA7CA7">
      <w:pPr>
        <w:rPr>
          <w:rFonts w:hint="eastAsia" w:ascii="宋体" w:hAnsi="宋体" w:eastAsia="宋体" w:cs="宋体"/>
          <w:color w:val="auto"/>
          <w:sz w:val="32"/>
          <w:szCs w:val="32"/>
        </w:rPr>
      </w:pPr>
    </w:p>
    <w:p w14:paraId="791E9107">
      <w:pPr>
        <w:rPr>
          <w:rFonts w:hint="eastAsia" w:ascii="宋体" w:hAnsi="宋体" w:eastAsia="宋体" w:cs="宋体"/>
          <w:color w:val="auto"/>
          <w:sz w:val="32"/>
          <w:szCs w:val="32"/>
        </w:rPr>
      </w:pPr>
    </w:p>
    <w:p w14:paraId="769FD604">
      <w:pPr>
        <w:jc w:val="center"/>
        <w:rPr>
          <w:rFonts w:hint="eastAsia" w:ascii="宋体" w:hAnsi="宋体" w:eastAsia="宋体" w:cs="宋体"/>
          <w:color w:val="auto"/>
          <w:sz w:val="32"/>
          <w:szCs w:val="32"/>
          <w:highlight w:val="none"/>
          <w:u w:val="single"/>
          <w:lang w:val="en-US" w:eastAsia="zh-CN"/>
        </w:rPr>
      </w:pPr>
      <w:r>
        <w:rPr>
          <w:rFonts w:hint="eastAsia" w:ascii="宋体" w:hAnsi="宋体" w:eastAsia="宋体" w:cs="宋体"/>
          <w:b/>
          <w:color w:val="auto"/>
          <w:sz w:val="32"/>
          <w:szCs w:val="32"/>
        </w:rPr>
        <w:t>采  购  人：</w:t>
      </w:r>
      <w:r>
        <w:rPr>
          <w:rFonts w:hint="eastAsia" w:ascii="宋体" w:hAnsi="宋体" w:cs="宋体"/>
          <w:b/>
          <w:color w:val="auto"/>
          <w:sz w:val="32"/>
          <w:szCs w:val="32"/>
          <w:highlight w:val="none"/>
          <w:u w:val="single"/>
          <w:lang w:val="en-US" w:eastAsia="zh-CN"/>
        </w:rPr>
        <w:t>界首市乐居振兴建设发展有限公司</w:t>
      </w:r>
    </w:p>
    <w:p w14:paraId="6D012C14">
      <w:pPr>
        <w:spacing w:line="440" w:lineRule="exact"/>
        <w:ind w:right="42" w:rightChars="20"/>
        <w:rPr>
          <w:rFonts w:hint="eastAsia" w:ascii="宋体" w:hAnsi="宋体" w:eastAsia="宋体" w:cs="宋体"/>
          <w:b/>
          <w:color w:val="auto"/>
          <w:sz w:val="32"/>
          <w:szCs w:val="32"/>
        </w:rPr>
      </w:pPr>
    </w:p>
    <w:p w14:paraId="4CDA9A5D">
      <w:pPr>
        <w:spacing w:line="440" w:lineRule="exact"/>
        <w:ind w:right="42" w:rightChars="20"/>
        <w:jc w:val="center"/>
        <w:rPr>
          <w:rFonts w:hint="eastAsia" w:ascii="宋体" w:hAnsi="宋体" w:eastAsia="宋体" w:cs="宋体"/>
          <w:b/>
          <w:color w:val="auto"/>
          <w:sz w:val="32"/>
          <w:szCs w:val="32"/>
          <w:highlight w:val="yellow"/>
          <w:u w:val="single"/>
          <w:lang w:eastAsia="zh-CN"/>
        </w:rPr>
      </w:pPr>
      <w:r>
        <w:rPr>
          <w:rFonts w:hint="eastAsia" w:ascii="宋体" w:hAnsi="宋体" w:eastAsia="宋体" w:cs="宋体"/>
          <w:b/>
          <w:color w:val="auto"/>
          <w:sz w:val="32"/>
          <w:szCs w:val="32"/>
        </w:rPr>
        <w:t>采购代理机构：</w:t>
      </w:r>
      <w:r>
        <w:rPr>
          <w:rFonts w:hint="eastAsia" w:ascii="宋体" w:hAnsi="宋体" w:eastAsia="宋体" w:cs="宋体"/>
          <w:b/>
          <w:color w:val="auto"/>
          <w:sz w:val="32"/>
          <w:szCs w:val="32"/>
          <w:highlight w:val="none"/>
          <w:u w:val="single"/>
          <w:lang w:val="en-US" w:eastAsia="zh-CN"/>
        </w:rPr>
        <w:t>安徽巍昂工程管理咨询有限公司</w:t>
      </w:r>
    </w:p>
    <w:p w14:paraId="2FF791FA">
      <w:pPr>
        <w:spacing w:line="440" w:lineRule="exact"/>
        <w:ind w:right="42" w:rightChars="20"/>
        <w:jc w:val="center"/>
        <w:rPr>
          <w:rFonts w:hint="eastAsia" w:ascii="宋体" w:hAnsi="宋体" w:eastAsia="宋体" w:cs="宋体"/>
          <w:b/>
          <w:color w:val="auto"/>
          <w:sz w:val="32"/>
          <w:szCs w:val="32"/>
        </w:rPr>
      </w:pPr>
    </w:p>
    <w:p w14:paraId="4E9C82A5">
      <w:pPr>
        <w:spacing w:line="440" w:lineRule="exact"/>
        <w:ind w:right="42" w:rightChars="20"/>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202</w:t>
      </w:r>
      <w:r>
        <w:rPr>
          <w:rFonts w:hint="eastAsia" w:ascii="宋体" w:hAnsi="宋体" w:cs="宋体"/>
          <w:b/>
          <w:color w:val="auto"/>
          <w:sz w:val="32"/>
          <w:szCs w:val="32"/>
          <w:lang w:val="en-US" w:eastAsia="zh-CN"/>
        </w:rPr>
        <w:t>6</w:t>
      </w:r>
      <w:r>
        <w:rPr>
          <w:rFonts w:hint="eastAsia" w:ascii="宋体" w:hAnsi="宋体" w:eastAsia="宋体" w:cs="宋体"/>
          <w:b/>
          <w:color w:val="auto"/>
          <w:sz w:val="32"/>
          <w:szCs w:val="32"/>
        </w:rPr>
        <w:t xml:space="preserve">年 </w:t>
      </w:r>
      <w:r>
        <w:rPr>
          <w:rFonts w:hint="eastAsia" w:ascii="宋体" w:hAnsi="宋体" w:cs="宋体"/>
          <w:b/>
          <w:color w:val="auto"/>
          <w:sz w:val="32"/>
          <w:szCs w:val="32"/>
          <w:lang w:val="en-US" w:eastAsia="zh-CN"/>
        </w:rPr>
        <w:t>7</w:t>
      </w:r>
      <w:r>
        <w:rPr>
          <w:rFonts w:hint="eastAsia" w:ascii="宋体" w:hAnsi="宋体" w:eastAsia="宋体" w:cs="宋体"/>
          <w:b/>
          <w:color w:val="auto"/>
          <w:sz w:val="32"/>
          <w:szCs w:val="32"/>
        </w:rPr>
        <w:t xml:space="preserve">月 </w:t>
      </w:r>
    </w:p>
    <w:p w14:paraId="56BE825B">
      <w:pPr>
        <w:widowControl/>
        <w:jc w:val="left"/>
        <w:rPr>
          <w:rFonts w:hint="eastAsia" w:ascii="宋体" w:hAnsi="宋体" w:eastAsia="宋体" w:cs="宋体"/>
          <w:color w:val="auto"/>
          <w:lang w:val="en-US" w:eastAsia="zh-CN"/>
        </w:rPr>
      </w:pPr>
      <w:r>
        <w:rPr>
          <w:rFonts w:hint="eastAsia" w:ascii="宋体" w:hAnsi="宋体" w:eastAsia="宋体" w:cs="宋体"/>
          <w:color w:val="auto"/>
          <w:sz w:val="32"/>
          <w:szCs w:val="32"/>
        </w:rPr>
        <w:br w:type="page"/>
      </w:r>
      <w:r>
        <w:rPr>
          <w:rFonts w:hint="eastAsia" w:ascii="宋体" w:hAnsi="宋体" w:eastAsia="宋体" w:cs="宋体"/>
          <w:color w:val="auto"/>
          <w:sz w:val="32"/>
          <w:szCs w:val="32"/>
          <w:lang w:val="en-US" w:eastAsia="zh-CN"/>
        </w:rPr>
        <w:t xml:space="preserve"> </w:t>
      </w:r>
    </w:p>
    <w:sdt>
      <w:sdtPr>
        <w:rPr>
          <w:rFonts w:hint="eastAsia" w:ascii="宋体" w:hAnsi="宋体" w:eastAsia="宋体" w:cs="宋体"/>
          <w:color w:val="auto"/>
          <w:sz w:val="21"/>
        </w:rPr>
        <w:id w:val="147476182"/>
        <w:docPartObj>
          <w:docPartGallery w:val="Table of Contents"/>
          <w:docPartUnique/>
        </w:docPartObj>
      </w:sdtPr>
      <w:sdtEndPr>
        <w:rPr>
          <w:rFonts w:hint="eastAsia" w:ascii="宋体" w:hAnsi="宋体" w:eastAsia="宋体" w:cs="宋体"/>
          <w:color w:val="auto"/>
          <w:sz w:val="20"/>
          <w:szCs w:val="20"/>
        </w:rPr>
      </w:sdtEndPr>
      <w:sdtContent>
        <w:p w14:paraId="46830A51">
          <w:pPr>
            <w:spacing w:before="200" w:line="280" w:lineRule="exact"/>
            <w:jc w:val="center"/>
            <w:rPr>
              <w:rFonts w:hint="eastAsia" w:ascii="宋体" w:hAnsi="宋体" w:eastAsia="宋体" w:cs="宋体"/>
              <w:color w:val="auto"/>
              <w:sz w:val="21"/>
            </w:rPr>
          </w:pPr>
        </w:p>
        <w:p w14:paraId="3F1DCD45">
          <w:pPr>
            <w:spacing w:before="0" w:beforeLines="0" w:after="0" w:afterLines="0" w:line="240" w:lineRule="auto"/>
            <w:ind w:left="0" w:leftChars="0" w:right="0" w:rightChars="0" w:firstLine="0" w:firstLineChars="0"/>
            <w:jc w:val="center"/>
            <w:rPr>
              <w:rFonts w:hint="eastAsia" w:ascii="宋体" w:hAnsi="宋体" w:eastAsia="宋体" w:cs="宋体"/>
              <w:color w:val="auto"/>
              <w:sz w:val="44"/>
              <w:szCs w:val="44"/>
            </w:rPr>
          </w:pPr>
          <w:r>
            <w:rPr>
              <w:rFonts w:hint="eastAsia" w:ascii="宋体" w:hAnsi="宋体" w:eastAsia="宋体" w:cs="宋体"/>
              <w:color w:val="auto"/>
              <w:sz w:val="44"/>
              <w:szCs w:val="44"/>
            </w:rPr>
            <w:t>目</w:t>
          </w:r>
          <w:r>
            <w:rPr>
              <w:rFonts w:hint="eastAsia" w:ascii="宋体" w:hAnsi="宋体" w:eastAsia="宋体" w:cs="宋体"/>
              <w:color w:val="auto"/>
              <w:sz w:val="44"/>
              <w:szCs w:val="44"/>
              <w:lang w:val="en-US" w:eastAsia="zh-CN"/>
            </w:rPr>
            <w:t xml:space="preserve">  </w:t>
          </w:r>
          <w:r>
            <w:rPr>
              <w:rFonts w:hint="eastAsia" w:ascii="宋体" w:hAnsi="宋体" w:eastAsia="宋体" w:cs="宋体"/>
              <w:color w:val="auto"/>
              <w:sz w:val="44"/>
              <w:szCs w:val="44"/>
            </w:rPr>
            <w:t>录</w:t>
          </w:r>
        </w:p>
        <w:p w14:paraId="72E0FDCD">
          <w:pPr>
            <w:pStyle w:val="32"/>
            <w:rPr>
              <w:rFonts w:hint="eastAsia" w:ascii="宋体" w:hAnsi="宋体" w:eastAsia="宋体" w:cs="宋体"/>
              <w:color w:val="auto"/>
            </w:rPr>
          </w:pPr>
        </w:p>
        <w:p w14:paraId="6154340D">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32"/>
              <w:lang w:val="en-US" w:eastAsia="zh-CN"/>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_Toc27020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第一章  竞争性磋商公告</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cs="宋体"/>
              <w:color w:val="auto"/>
              <w:sz w:val="32"/>
              <w:szCs w:val="32"/>
              <w:lang w:val="en-US" w:eastAsia="zh-CN"/>
            </w:rPr>
            <w:t>2</w:t>
          </w:r>
        </w:p>
        <w:p w14:paraId="711E9699">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_Toc20194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第二章  供应商须知及前附表</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cs="宋体"/>
              <w:color w:val="auto"/>
              <w:sz w:val="32"/>
              <w:szCs w:val="32"/>
              <w:lang w:val="en-US" w:eastAsia="zh-CN"/>
            </w:rPr>
            <w:t>5</w:t>
          </w:r>
        </w:p>
        <w:p w14:paraId="7FC06CD2">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_Toc30158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 xml:space="preserve">第三章 </w:t>
          </w:r>
          <w:r>
            <w:rPr>
              <w:rFonts w:hint="eastAsia" w:ascii="宋体" w:hAnsi="宋体" w:eastAsia="宋体" w:cs="宋体"/>
              <w:color w:val="auto"/>
              <w:sz w:val="32"/>
              <w:szCs w:val="32"/>
              <w:lang w:val="en-US" w:eastAsia="zh-CN"/>
            </w:rPr>
            <w:t xml:space="preserve"> </w:t>
          </w:r>
          <w:r>
            <w:rPr>
              <w:rFonts w:hint="eastAsia" w:ascii="宋体" w:hAnsi="宋体" w:eastAsia="宋体" w:cs="宋体"/>
              <w:color w:val="auto"/>
              <w:sz w:val="32"/>
              <w:szCs w:val="32"/>
              <w:lang w:eastAsia="zh-CN"/>
            </w:rPr>
            <w:t>采购需求</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cs="宋体"/>
              <w:color w:val="auto"/>
              <w:sz w:val="32"/>
              <w:szCs w:val="32"/>
              <w:lang w:val="en-US" w:eastAsia="zh-CN"/>
            </w:rPr>
            <w:t>20</w:t>
          </w:r>
        </w:p>
        <w:p w14:paraId="6CEFE4AC">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_Toc9680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 xml:space="preserve">第四章  </w:t>
          </w:r>
          <w:r>
            <w:rPr>
              <w:rFonts w:hint="eastAsia" w:ascii="宋体" w:hAnsi="宋体" w:eastAsia="宋体" w:cs="宋体"/>
              <w:color w:val="auto"/>
              <w:sz w:val="32"/>
              <w:szCs w:val="32"/>
              <w:lang w:eastAsia="zh-CN"/>
            </w:rPr>
            <w:t>评审方法及说明</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lang w:val="en-US" w:eastAsia="zh-CN"/>
            </w:rPr>
            <w:t>2</w:t>
          </w:r>
          <w:r>
            <w:rPr>
              <w:rFonts w:hint="eastAsia" w:ascii="宋体" w:hAnsi="宋体" w:cs="宋体"/>
              <w:color w:val="auto"/>
              <w:sz w:val="32"/>
              <w:szCs w:val="32"/>
              <w:lang w:val="en-US" w:eastAsia="zh-CN"/>
            </w:rPr>
            <w:t>2</w:t>
          </w:r>
        </w:p>
        <w:p w14:paraId="4A7DD232">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_Toc24461 </w:instrText>
          </w:r>
          <w:r>
            <w:rPr>
              <w:rFonts w:hint="eastAsia" w:ascii="宋体" w:hAnsi="宋体" w:eastAsia="宋体" w:cs="宋体"/>
              <w:color w:val="auto"/>
              <w:sz w:val="32"/>
              <w:szCs w:val="32"/>
            </w:rPr>
            <w:fldChar w:fldCharType="separate"/>
          </w:r>
          <w:r>
            <w:rPr>
              <w:rFonts w:hint="eastAsia" w:ascii="宋体" w:hAnsi="宋体" w:eastAsia="宋体" w:cs="宋体"/>
              <w:color w:val="auto"/>
              <w:sz w:val="32"/>
              <w:szCs w:val="32"/>
            </w:rPr>
            <w:t>第五章  合同格式及基本条款</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cs="宋体"/>
              <w:color w:val="auto"/>
              <w:sz w:val="32"/>
              <w:szCs w:val="32"/>
              <w:lang w:val="en-US" w:eastAsia="zh-CN"/>
            </w:rPr>
            <w:t>29</w:t>
          </w:r>
        </w:p>
        <w:p w14:paraId="1119FDBE">
          <w:pPr>
            <w:pStyle w:val="41"/>
            <w:keepNext w:val="0"/>
            <w:keepLines w:val="0"/>
            <w:pageBreakBefore w:val="0"/>
            <w:tabs>
              <w:tab w:val="right" w:leader="dot" w:pos="9639"/>
            </w:tabs>
            <w:kinsoku/>
            <w:wordWrap/>
            <w:overflowPunct/>
            <w:topLinePunct w:val="0"/>
            <w:autoSpaceDE/>
            <w:autoSpaceDN/>
            <w:bidi w:val="0"/>
            <w:adjustRightInd/>
            <w:snapToGrid/>
            <w:spacing w:line="480" w:lineRule="auto"/>
            <w:textAlignment w:val="auto"/>
            <w:rPr>
              <w:rFonts w:hint="default" w:ascii="宋体" w:hAnsi="宋体" w:eastAsia="宋体" w:cs="宋体"/>
              <w:color w:val="auto"/>
              <w:sz w:val="32"/>
              <w:szCs w:val="32"/>
              <w:lang w:val="en-US" w:eastAsia="zh-CN"/>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_Toc1957 </w:instrText>
          </w:r>
          <w:r>
            <w:rPr>
              <w:rFonts w:hint="eastAsia" w:ascii="宋体" w:hAnsi="宋体" w:eastAsia="宋体" w:cs="宋体"/>
              <w:color w:val="auto"/>
              <w:sz w:val="32"/>
              <w:szCs w:val="32"/>
            </w:rPr>
            <w:fldChar w:fldCharType="separate"/>
          </w:r>
          <w:r>
            <w:rPr>
              <w:rFonts w:hint="eastAsia" w:ascii="宋体" w:hAnsi="宋体" w:eastAsia="宋体" w:cs="宋体"/>
              <w:bCs/>
              <w:color w:val="auto"/>
              <w:sz w:val="32"/>
              <w:szCs w:val="32"/>
            </w:rPr>
            <w:t>第六章  响应文件格式</w:t>
          </w:r>
          <w:r>
            <w:rPr>
              <w:rFonts w:hint="eastAsia" w:ascii="宋体" w:hAnsi="宋体" w:eastAsia="宋体" w:cs="宋体"/>
              <w:color w:val="auto"/>
              <w:sz w:val="32"/>
              <w:szCs w:val="32"/>
            </w:rPr>
            <w:tab/>
          </w:r>
          <w:r>
            <w:rPr>
              <w:rFonts w:hint="eastAsia" w:ascii="宋体" w:hAnsi="宋体" w:eastAsia="宋体" w:cs="宋体"/>
              <w:color w:val="auto"/>
              <w:sz w:val="32"/>
              <w:szCs w:val="32"/>
            </w:rPr>
            <w:fldChar w:fldCharType="end"/>
          </w:r>
          <w:r>
            <w:rPr>
              <w:rFonts w:hint="eastAsia" w:ascii="宋体" w:hAnsi="宋体" w:eastAsia="宋体" w:cs="宋体"/>
              <w:color w:val="auto"/>
              <w:sz w:val="32"/>
              <w:szCs w:val="32"/>
              <w:lang w:val="en-US" w:eastAsia="zh-CN"/>
            </w:rPr>
            <w:t>3</w:t>
          </w:r>
          <w:r>
            <w:rPr>
              <w:rFonts w:hint="eastAsia" w:ascii="宋体" w:hAnsi="宋体" w:cs="宋体"/>
              <w:color w:val="auto"/>
              <w:sz w:val="32"/>
              <w:szCs w:val="32"/>
              <w:lang w:val="en-US" w:eastAsia="zh-CN"/>
            </w:rPr>
            <w:t>8</w:t>
          </w:r>
        </w:p>
        <w:p w14:paraId="788B6A04">
          <w:pPr>
            <w:spacing w:before="200" w:line="280" w:lineRule="exact"/>
            <w:jc w:val="center"/>
            <w:rPr>
              <w:rFonts w:hint="eastAsia" w:ascii="宋体" w:hAnsi="宋体" w:eastAsia="宋体" w:cs="宋体"/>
              <w:b/>
              <w:color w:val="auto"/>
              <w:sz w:val="36"/>
              <w:szCs w:val="28"/>
            </w:rPr>
            <w:sectPr>
              <w:footerReference r:id="rId3" w:type="default"/>
              <w:pgSz w:w="11910" w:h="16850"/>
              <w:pgMar w:top="1400" w:right="1240" w:bottom="1460" w:left="1240" w:header="877" w:footer="1266" w:gutter="0"/>
              <w:pgNumType w:fmt="decimal" w:start="0"/>
              <w:cols w:space="720" w:num="1"/>
            </w:sectPr>
          </w:pPr>
          <w:r>
            <w:rPr>
              <w:rFonts w:hint="eastAsia" w:ascii="宋体" w:hAnsi="宋体" w:eastAsia="宋体" w:cs="宋体"/>
              <w:color w:val="auto"/>
              <w:sz w:val="32"/>
              <w:szCs w:val="32"/>
            </w:rPr>
            <w:fldChar w:fldCharType="end"/>
          </w:r>
        </w:p>
      </w:sdtContent>
    </w:sdt>
    <w:p w14:paraId="4820F178">
      <w:pPr>
        <w:pStyle w:val="4"/>
        <w:tabs>
          <w:tab w:val="left" w:pos="4576"/>
        </w:tabs>
        <w:adjustRightInd w:val="0"/>
        <w:snapToGrid w:val="0"/>
        <w:spacing w:line="360" w:lineRule="auto"/>
        <w:jc w:val="center"/>
        <w:rPr>
          <w:rFonts w:hint="eastAsia" w:ascii="宋体" w:hAnsi="宋体" w:eastAsia="宋体" w:cs="宋体"/>
          <w:color w:val="auto"/>
          <w:sz w:val="32"/>
          <w:szCs w:val="32"/>
        </w:rPr>
      </w:pPr>
      <w:bookmarkStart w:id="0" w:name="_Toc8077"/>
      <w:r>
        <w:rPr>
          <w:rFonts w:hint="eastAsia" w:ascii="宋体" w:hAnsi="宋体" w:eastAsia="宋体" w:cs="宋体"/>
          <w:color w:val="auto"/>
          <w:sz w:val="32"/>
          <w:szCs w:val="32"/>
        </w:rPr>
        <w:t xml:space="preserve">第一章 </w:t>
      </w:r>
      <w:bookmarkEnd w:id="0"/>
      <w:r>
        <w:rPr>
          <w:rFonts w:hint="eastAsia" w:ascii="宋体" w:hAnsi="宋体" w:eastAsia="宋体" w:cs="宋体"/>
          <w:color w:val="auto"/>
          <w:sz w:val="32"/>
          <w:szCs w:val="32"/>
        </w:rPr>
        <w:t>竞争性磋商公告</w:t>
      </w:r>
    </w:p>
    <w:p w14:paraId="0ABC4410">
      <w:pPr>
        <w:rPr>
          <w:rFonts w:hint="eastAsia" w:ascii="宋体" w:hAnsi="宋体" w:eastAsia="宋体" w:cs="宋体"/>
          <w:color w:val="auto"/>
          <w:highlight w:val="none"/>
        </w:rPr>
      </w:pPr>
    </w:p>
    <w:p w14:paraId="4048E16A">
      <w:pPr>
        <w:pBdr>
          <w:top w:val="single" w:color="auto" w:sz="4" w:space="1"/>
          <w:left w:val="single" w:color="auto" w:sz="4" w:space="4"/>
          <w:bottom w:val="single" w:color="auto" w:sz="4" w:space="1"/>
          <w:right w:val="single" w:color="auto" w:sz="4" w:space="4"/>
        </w:pBd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项目概况</w:t>
      </w:r>
    </w:p>
    <w:p w14:paraId="146995EC">
      <w:pPr>
        <w:pBdr>
          <w:top w:val="single" w:color="auto" w:sz="4" w:space="1"/>
          <w:left w:val="single" w:color="auto" w:sz="4" w:space="4"/>
          <w:bottom w:val="single" w:color="auto" w:sz="4" w:space="1"/>
          <w:right w:val="single" w:color="auto" w:sz="4" w:space="4"/>
        </w:pBdr>
        <w:spacing w:line="360" w:lineRule="auto"/>
        <w:ind w:firstLine="560" w:firstLineChars="200"/>
        <w:rPr>
          <w:rFonts w:hint="eastAsia" w:ascii="宋体" w:hAnsi="宋体" w:eastAsia="宋体" w:cs="宋体"/>
          <w:color w:val="auto"/>
          <w:sz w:val="28"/>
          <w:szCs w:val="28"/>
          <w:highlight w:val="none"/>
        </w:rPr>
      </w:pPr>
      <w:r>
        <w:rPr>
          <w:rFonts w:hint="eastAsia" w:ascii="宋体" w:hAnsi="宋体" w:cs="宋体"/>
          <w:color w:val="auto"/>
          <w:sz w:val="28"/>
          <w:szCs w:val="28"/>
          <w:highlight w:val="none"/>
          <w:u w:val="single"/>
          <w:lang w:eastAsia="zh-CN"/>
        </w:rPr>
        <w:t>界首市乐居振兴建设发展有限公司界首市居家社区养老服务网络提升项目设计</w:t>
      </w:r>
      <w:r>
        <w:rPr>
          <w:rFonts w:hint="eastAsia" w:ascii="宋体" w:hAnsi="宋体" w:eastAsia="宋体" w:cs="宋体"/>
          <w:color w:val="auto"/>
          <w:sz w:val="28"/>
          <w:szCs w:val="28"/>
          <w:highlight w:val="none"/>
        </w:rPr>
        <w:t>的潜在供应商应在</w:t>
      </w:r>
      <w:r>
        <w:rPr>
          <w:rFonts w:hint="eastAsia" w:ascii="宋体" w:hAnsi="宋体" w:eastAsia="宋体" w:cs="宋体"/>
          <w:color w:val="auto"/>
          <w:sz w:val="28"/>
          <w:szCs w:val="28"/>
          <w:highlight w:val="none"/>
          <w:lang w:val="en-US" w:eastAsia="zh-CN"/>
        </w:rPr>
        <w:t>界首市城乡建设发展集团有限公司http://www.jscxjs.cn/网站</w:t>
      </w:r>
      <w:r>
        <w:rPr>
          <w:rFonts w:hint="eastAsia" w:ascii="宋体" w:hAnsi="宋体" w:eastAsia="宋体" w:cs="宋体"/>
          <w:color w:val="auto"/>
          <w:kern w:val="0"/>
          <w:sz w:val="28"/>
          <w:szCs w:val="28"/>
          <w:highlight w:val="none"/>
          <w:lang w:val="en-US" w:eastAsia="zh-CN"/>
        </w:rPr>
        <w:t>上</w:t>
      </w:r>
      <w:r>
        <w:rPr>
          <w:rFonts w:hint="eastAsia" w:ascii="宋体" w:hAnsi="宋体" w:eastAsia="宋体" w:cs="宋体"/>
          <w:color w:val="auto"/>
          <w:sz w:val="28"/>
          <w:szCs w:val="28"/>
          <w:highlight w:val="none"/>
        </w:rPr>
        <w:t>获取采购文件，并于</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202</w:t>
      </w:r>
      <w:r>
        <w:rPr>
          <w:rFonts w:hint="eastAsia" w:ascii="宋体" w:hAnsi="宋体" w:cs="宋体"/>
          <w:color w:val="auto"/>
          <w:sz w:val="28"/>
          <w:szCs w:val="28"/>
          <w:highlight w:val="none"/>
          <w:u w:val="single"/>
          <w:lang w:val="en-US" w:eastAsia="zh-CN"/>
        </w:rPr>
        <w:t>6</w:t>
      </w:r>
      <w:r>
        <w:rPr>
          <w:rFonts w:hint="eastAsia" w:ascii="宋体" w:hAnsi="宋体" w:eastAsia="宋体" w:cs="宋体"/>
          <w:bCs/>
          <w:color w:val="auto"/>
          <w:sz w:val="28"/>
          <w:szCs w:val="28"/>
          <w:highlight w:val="none"/>
          <w:u w:val="single"/>
        </w:rPr>
        <w:t>年</w:t>
      </w:r>
      <w:r>
        <w:rPr>
          <w:rFonts w:hint="eastAsia" w:ascii="宋体" w:hAnsi="宋体" w:cs="宋体"/>
          <w:bCs/>
          <w:color w:val="auto"/>
          <w:sz w:val="28"/>
          <w:szCs w:val="28"/>
          <w:highlight w:val="none"/>
          <w:u w:val="single"/>
          <w:lang w:val="en-US" w:eastAsia="zh-CN"/>
        </w:rPr>
        <w:t>7</w:t>
      </w:r>
      <w:r>
        <w:rPr>
          <w:rFonts w:hint="eastAsia" w:ascii="宋体" w:hAnsi="宋体" w:eastAsia="宋体" w:cs="宋体"/>
          <w:bCs/>
          <w:color w:val="auto"/>
          <w:sz w:val="28"/>
          <w:szCs w:val="28"/>
          <w:highlight w:val="none"/>
          <w:u w:val="single"/>
        </w:rPr>
        <w:t>月</w:t>
      </w:r>
      <w:r>
        <w:rPr>
          <w:rFonts w:hint="eastAsia" w:ascii="宋体" w:hAnsi="宋体" w:cs="宋体"/>
          <w:bCs/>
          <w:color w:val="auto"/>
          <w:sz w:val="28"/>
          <w:szCs w:val="28"/>
          <w:highlight w:val="none"/>
          <w:u w:val="single"/>
          <w:lang w:val="en-US" w:eastAsia="zh-CN"/>
        </w:rPr>
        <w:t>13</w:t>
      </w:r>
      <w:r>
        <w:rPr>
          <w:rFonts w:hint="eastAsia" w:ascii="宋体" w:hAnsi="宋体" w:eastAsia="宋体" w:cs="宋体"/>
          <w:bCs/>
          <w:color w:val="auto"/>
          <w:sz w:val="28"/>
          <w:szCs w:val="28"/>
          <w:highlight w:val="none"/>
          <w:u w:val="single"/>
        </w:rPr>
        <w:t>日</w:t>
      </w:r>
      <w:r>
        <w:rPr>
          <w:rFonts w:hint="eastAsia" w:ascii="宋体" w:hAnsi="宋体" w:cs="宋体"/>
          <w:bCs/>
          <w:color w:val="auto"/>
          <w:sz w:val="28"/>
          <w:szCs w:val="28"/>
          <w:highlight w:val="none"/>
          <w:u w:val="single"/>
          <w:lang w:val="en-US" w:eastAsia="zh-CN"/>
        </w:rPr>
        <w:t>15</w:t>
      </w:r>
      <w:r>
        <w:rPr>
          <w:rFonts w:hint="eastAsia" w:ascii="宋体" w:hAnsi="宋体" w:eastAsia="宋体" w:cs="宋体"/>
          <w:bCs/>
          <w:color w:val="auto"/>
          <w:sz w:val="28"/>
          <w:szCs w:val="28"/>
          <w:highlight w:val="none"/>
          <w:u w:val="single"/>
        </w:rPr>
        <w:t>点</w:t>
      </w:r>
      <w:r>
        <w:rPr>
          <w:rFonts w:hint="eastAsia" w:ascii="宋体" w:hAnsi="宋体" w:cs="宋体"/>
          <w:bCs/>
          <w:color w:val="auto"/>
          <w:sz w:val="28"/>
          <w:szCs w:val="28"/>
          <w:highlight w:val="none"/>
          <w:u w:val="single"/>
          <w:lang w:val="en-US" w:eastAsia="zh-CN"/>
        </w:rPr>
        <w:t>00</w:t>
      </w:r>
      <w:r>
        <w:rPr>
          <w:rFonts w:hint="eastAsia" w:ascii="宋体" w:hAnsi="宋体" w:eastAsia="宋体" w:cs="宋体"/>
          <w:bCs/>
          <w:color w:val="auto"/>
          <w:sz w:val="28"/>
          <w:szCs w:val="28"/>
          <w:highlight w:val="none"/>
          <w:u w:val="single"/>
        </w:rPr>
        <w:t>分</w:t>
      </w:r>
      <w:r>
        <w:rPr>
          <w:rFonts w:hint="eastAsia" w:ascii="宋体" w:hAnsi="宋体" w:eastAsia="宋体" w:cs="宋体"/>
          <w:bCs/>
          <w:color w:val="auto"/>
          <w:sz w:val="28"/>
          <w:szCs w:val="28"/>
          <w:highlight w:val="none"/>
        </w:rPr>
        <w:t>（北京时间）前提交响应文件</w:t>
      </w:r>
      <w:r>
        <w:rPr>
          <w:rFonts w:hint="eastAsia" w:ascii="宋体" w:hAnsi="宋体" w:eastAsia="宋体" w:cs="宋体"/>
          <w:color w:val="auto"/>
          <w:sz w:val="28"/>
          <w:szCs w:val="28"/>
          <w:highlight w:val="none"/>
        </w:rPr>
        <w:t>。</w:t>
      </w:r>
    </w:p>
    <w:p w14:paraId="2B011869">
      <w:pPr>
        <w:pStyle w:val="5"/>
        <w:spacing w:line="360" w:lineRule="auto"/>
        <w:rPr>
          <w:rFonts w:hint="eastAsia" w:ascii="宋体" w:hAnsi="宋体" w:eastAsia="宋体" w:cs="宋体"/>
          <w:color w:val="auto"/>
        </w:rPr>
      </w:pPr>
      <w:bookmarkStart w:id="1" w:name="_Toc28359089"/>
      <w:bookmarkStart w:id="2" w:name="_Toc35393629"/>
      <w:bookmarkStart w:id="3" w:name="_Toc28359012"/>
      <w:bookmarkStart w:id="4" w:name="_Toc35393798"/>
      <w:r>
        <w:rPr>
          <w:rFonts w:hint="eastAsia" w:ascii="宋体" w:hAnsi="宋体" w:eastAsia="宋体" w:cs="宋体"/>
          <w:b/>
          <w:bCs w:val="0"/>
          <w:color w:val="auto"/>
          <w:kern w:val="2"/>
          <w:sz w:val="28"/>
          <w:szCs w:val="28"/>
          <w:highlight w:val="none"/>
          <w:lang w:val="en-US" w:eastAsia="zh-CN" w:bidi="ar-SA"/>
        </w:rPr>
        <w:t>一、项目基本情况</w:t>
      </w:r>
      <w:bookmarkEnd w:id="1"/>
      <w:bookmarkEnd w:id="2"/>
      <w:bookmarkEnd w:id="3"/>
      <w:bookmarkEnd w:id="4"/>
      <w:r>
        <w:rPr>
          <w:rFonts w:hint="eastAsia" w:ascii="宋体" w:hAnsi="宋体" w:eastAsia="宋体" w:cs="宋体"/>
          <w:b/>
          <w:bCs w:val="0"/>
          <w:color w:val="auto"/>
          <w:kern w:val="2"/>
          <w:sz w:val="28"/>
          <w:szCs w:val="28"/>
          <w:highlight w:val="none"/>
          <w:lang w:val="en-US" w:eastAsia="zh-CN" w:bidi="ar-SA"/>
        </w:rPr>
        <w:t xml:space="preserve">  </w:t>
      </w:r>
      <w:r>
        <w:rPr>
          <w:rFonts w:hint="eastAsia" w:ascii="宋体" w:hAnsi="宋体" w:eastAsia="宋体" w:cs="宋体"/>
          <w:color w:val="auto"/>
        </w:rPr>
        <w:t xml:space="preserve"> </w:t>
      </w:r>
    </w:p>
    <w:p w14:paraId="46B23322">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项目名称：</w:t>
      </w:r>
      <w:r>
        <w:rPr>
          <w:rFonts w:hint="eastAsia" w:ascii="宋体" w:hAnsi="宋体" w:cs="宋体"/>
          <w:color w:val="auto"/>
          <w:sz w:val="28"/>
          <w:szCs w:val="28"/>
          <w:highlight w:val="none"/>
          <w:lang w:eastAsia="zh-CN"/>
        </w:rPr>
        <w:t>界首市乐居振兴建设发展有限公司界首市居家社区养老服务网络提升项目设计</w:t>
      </w:r>
    </w:p>
    <w:p w14:paraId="629CCA2F">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采购方式：竞争性磋商</w:t>
      </w:r>
    </w:p>
    <w:p w14:paraId="2E4B368F">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预算金额：</w:t>
      </w:r>
      <w:r>
        <w:rPr>
          <w:rFonts w:hint="eastAsia" w:ascii="宋体" w:hAnsi="宋体" w:eastAsia="宋体" w:cs="宋体"/>
          <w:color w:val="auto"/>
          <w:sz w:val="28"/>
          <w:szCs w:val="28"/>
          <w:highlight w:val="none"/>
          <w:lang w:val="en-US" w:eastAsia="zh-CN"/>
        </w:rPr>
        <w:t>20万元</w:t>
      </w:r>
      <w:r>
        <w:rPr>
          <w:rFonts w:hint="eastAsia" w:ascii="宋体" w:hAnsi="宋体" w:eastAsia="宋体" w:cs="宋体"/>
          <w:color w:val="auto"/>
          <w:sz w:val="28"/>
          <w:szCs w:val="28"/>
          <w:highlight w:val="none"/>
          <w:lang w:eastAsia="zh-CN"/>
        </w:rPr>
        <w:t xml:space="preserve">    </w:t>
      </w:r>
    </w:p>
    <w:p w14:paraId="5E033E34">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eastAsia="zh-CN"/>
        </w:rPr>
        <w:t>最高限价：</w:t>
      </w:r>
      <w:r>
        <w:rPr>
          <w:rFonts w:hint="eastAsia" w:ascii="宋体" w:hAnsi="宋体" w:eastAsia="宋体" w:cs="宋体"/>
          <w:color w:val="auto"/>
          <w:sz w:val="28"/>
          <w:szCs w:val="28"/>
          <w:highlight w:val="none"/>
          <w:lang w:val="en-US" w:eastAsia="zh-CN"/>
        </w:rPr>
        <w:t xml:space="preserve">20万元    </w:t>
      </w:r>
      <w:r>
        <w:rPr>
          <w:rFonts w:hint="eastAsia" w:ascii="宋体" w:hAnsi="宋体" w:eastAsia="宋体" w:cs="宋体"/>
          <w:color w:val="auto"/>
          <w:sz w:val="28"/>
          <w:szCs w:val="28"/>
          <w:highlight w:val="none"/>
          <w:lang w:eastAsia="zh-CN"/>
        </w:rPr>
        <w:t xml:space="preserve"> </w:t>
      </w:r>
    </w:p>
    <w:p w14:paraId="015A83E9">
      <w:pPr>
        <w:spacing w:line="360" w:lineRule="auto"/>
        <w:ind w:firstLine="560" w:firstLineChars="200"/>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项目概况</w:t>
      </w:r>
      <w:r>
        <w:rPr>
          <w:rFonts w:hint="eastAsia" w:ascii="宋体" w:hAnsi="宋体" w:eastAsia="宋体" w:cs="宋体"/>
          <w:color w:val="auto"/>
          <w:sz w:val="28"/>
          <w:szCs w:val="28"/>
          <w:highlight w:val="none"/>
          <w:lang w:eastAsia="zh-CN"/>
        </w:rPr>
        <w:t>：本项目</w:t>
      </w:r>
      <w:r>
        <w:rPr>
          <w:rFonts w:hint="eastAsia" w:ascii="宋体" w:hAnsi="宋体" w:cs="宋体"/>
          <w:color w:val="auto"/>
          <w:sz w:val="28"/>
          <w:szCs w:val="28"/>
          <w:highlight w:val="none"/>
          <w:lang w:val="en-US" w:eastAsia="zh-CN"/>
        </w:rPr>
        <w:t>位于界首市植物园安置区三期内（颍南植物园三期幼儿园），项目总建筑面积约4309.82平方米，共三层。改造原有建筑提供社区养老服务，设置养老床位约120张，配套建设室外活动场、停车场、绿化，给排水、电气、消防等附属设施。</w:t>
      </w:r>
    </w:p>
    <w:p w14:paraId="5A2C62B9">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采购</w:t>
      </w:r>
      <w:r>
        <w:rPr>
          <w:rFonts w:hint="eastAsia" w:ascii="宋体" w:hAnsi="宋体" w:eastAsia="宋体" w:cs="宋体"/>
          <w:color w:val="auto"/>
          <w:sz w:val="28"/>
          <w:szCs w:val="28"/>
          <w:highlight w:val="none"/>
          <w:lang w:eastAsia="zh-CN"/>
        </w:rPr>
        <w:t>内容包括但不限于</w:t>
      </w:r>
      <w:r>
        <w:rPr>
          <w:rFonts w:hint="eastAsia" w:ascii="宋体" w:hAnsi="宋体" w:cs="宋体"/>
          <w:color w:val="auto"/>
          <w:sz w:val="28"/>
          <w:szCs w:val="28"/>
          <w:highlight w:val="none"/>
          <w:lang w:val="en-US" w:eastAsia="zh-CN"/>
        </w:rPr>
        <w:t>上述项目的</w:t>
      </w:r>
      <w:r>
        <w:rPr>
          <w:rFonts w:hint="eastAsia" w:ascii="宋体" w:hAnsi="宋体" w:eastAsia="宋体" w:cs="宋体"/>
          <w:color w:val="auto"/>
          <w:sz w:val="28"/>
          <w:szCs w:val="28"/>
          <w:highlight w:val="none"/>
          <w:lang w:eastAsia="zh-CN"/>
        </w:rPr>
        <w:t>装饰方案及建筑、结构、电气、</w:t>
      </w:r>
      <w:r>
        <w:rPr>
          <w:rFonts w:hint="eastAsia" w:ascii="宋体" w:hAnsi="宋体" w:cs="宋体"/>
          <w:color w:val="auto"/>
          <w:sz w:val="28"/>
          <w:szCs w:val="28"/>
          <w:highlight w:val="none"/>
          <w:lang w:val="en-US" w:eastAsia="zh-CN"/>
        </w:rPr>
        <w:t>给排水、</w:t>
      </w:r>
      <w:r>
        <w:rPr>
          <w:rFonts w:hint="eastAsia" w:ascii="宋体" w:hAnsi="宋体" w:eastAsia="宋体" w:cs="宋体"/>
          <w:color w:val="auto"/>
          <w:sz w:val="28"/>
          <w:szCs w:val="28"/>
          <w:highlight w:val="none"/>
          <w:lang w:eastAsia="zh-CN"/>
        </w:rPr>
        <w:t>暖通装饰施工图，消防</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含</w:t>
      </w:r>
      <w:r>
        <w:rPr>
          <w:rFonts w:hint="eastAsia" w:ascii="宋体" w:hAnsi="宋体" w:eastAsia="宋体" w:cs="宋体"/>
          <w:color w:val="auto"/>
          <w:sz w:val="28"/>
          <w:szCs w:val="28"/>
          <w:highlight w:val="none"/>
          <w:lang w:eastAsia="zh-CN"/>
        </w:rPr>
        <w:t>建筑、电气、给排水、暖通</w:t>
      </w:r>
      <w:r>
        <w:rPr>
          <w:rFonts w:hint="eastAsia" w:ascii="宋体" w:hAnsi="宋体" w:cs="宋体"/>
          <w:color w:val="auto"/>
          <w:sz w:val="28"/>
          <w:szCs w:val="28"/>
          <w:highlight w:val="none"/>
          <w:lang w:val="en-US" w:eastAsia="zh-CN"/>
        </w:rPr>
        <w:t>等</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eastAsia="zh-CN"/>
        </w:rPr>
        <w:t>专项图纸，智能化、室外景观设计，同时提供效果图制作、施工图审查、现场勘测与场地测绘服务，一并覆盖精装修、消防改造、无障碍</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eastAsia="zh-CN"/>
        </w:rPr>
        <w:t>适老化</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eastAsia="zh-CN"/>
        </w:rPr>
        <w:t>改造、智能化改造、</w:t>
      </w:r>
      <w:r>
        <w:rPr>
          <w:rFonts w:hint="eastAsia" w:ascii="宋体" w:hAnsi="宋体" w:cs="宋体"/>
          <w:color w:val="auto"/>
          <w:sz w:val="28"/>
          <w:szCs w:val="28"/>
          <w:highlight w:val="none"/>
          <w:lang w:val="en-US" w:eastAsia="zh-CN"/>
        </w:rPr>
        <w:t>室外等</w:t>
      </w:r>
      <w:r>
        <w:rPr>
          <w:rFonts w:hint="eastAsia" w:ascii="宋体" w:hAnsi="宋体" w:eastAsia="宋体" w:cs="宋体"/>
          <w:color w:val="auto"/>
          <w:sz w:val="28"/>
          <w:szCs w:val="28"/>
          <w:highlight w:val="none"/>
          <w:lang w:eastAsia="zh-CN"/>
        </w:rPr>
        <w:t>管网改造、结构加固</w:t>
      </w:r>
      <w:r>
        <w:rPr>
          <w:rFonts w:hint="eastAsia" w:ascii="宋体" w:hAnsi="宋体" w:cs="宋体"/>
          <w:color w:val="auto"/>
          <w:sz w:val="28"/>
          <w:szCs w:val="28"/>
          <w:highlight w:val="none"/>
          <w:lang w:val="en-US" w:eastAsia="zh-CN"/>
        </w:rPr>
        <w:t>等</w:t>
      </w:r>
      <w:r>
        <w:rPr>
          <w:rFonts w:hint="eastAsia" w:ascii="宋体" w:hAnsi="宋体" w:eastAsia="宋体" w:cs="宋体"/>
          <w:color w:val="auto"/>
          <w:sz w:val="28"/>
          <w:szCs w:val="28"/>
          <w:highlight w:val="none"/>
          <w:lang w:eastAsia="zh-CN"/>
        </w:rPr>
        <w:t>相关全部设计工作。具体内容以采购人要求为准</w:t>
      </w:r>
      <w:r>
        <w:rPr>
          <w:rFonts w:hint="eastAsia" w:ascii="宋体" w:hAnsi="宋体" w:eastAsia="宋体" w:cs="宋体"/>
          <w:color w:val="auto"/>
          <w:sz w:val="28"/>
          <w:szCs w:val="28"/>
          <w:highlight w:val="none"/>
          <w:lang w:val="en-US" w:eastAsia="zh-CN"/>
        </w:rPr>
        <w:t>。</w:t>
      </w:r>
    </w:p>
    <w:p w14:paraId="713E8F86">
      <w:pPr>
        <w:spacing w:line="360" w:lineRule="auto"/>
        <w:ind w:firstLine="560" w:firstLineChars="200"/>
        <w:rPr>
          <w:rFonts w:hint="eastAsia" w:ascii="宋体" w:hAnsi="宋体" w:eastAsia="宋体" w:cs="宋体"/>
          <w:color w:val="auto"/>
          <w:kern w:val="0"/>
          <w:sz w:val="28"/>
          <w:szCs w:val="28"/>
        </w:rPr>
      </w:pPr>
      <w:r>
        <w:rPr>
          <w:rFonts w:hint="eastAsia" w:ascii="宋体" w:hAnsi="宋体" w:eastAsia="宋体" w:cs="宋体"/>
          <w:color w:val="auto"/>
          <w:sz w:val="28"/>
          <w:szCs w:val="28"/>
          <w:highlight w:val="none"/>
          <w:lang w:eastAsia="zh-CN"/>
        </w:rPr>
        <w:t>合同履行期限：</w:t>
      </w:r>
      <w:r>
        <w:rPr>
          <w:rFonts w:hint="eastAsia" w:ascii="宋体" w:hAnsi="宋体" w:eastAsia="宋体" w:cs="宋体"/>
          <w:color w:val="auto"/>
          <w:kern w:val="0"/>
          <w:sz w:val="28"/>
          <w:szCs w:val="28"/>
          <w:lang w:val="en-US" w:eastAsia="zh-CN"/>
        </w:rPr>
        <w:t>90</w:t>
      </w:r>
      <w:r>
        <w:rPr>
          <w:rFonts w:hint="eastAsia" w:ascii="宋体" w:hAnsi="宋体" w:eastAsia="宋体" w:cs="宋体"/>
          <w:color w:val="auto"/>
          <w:kern w:val="0"/>
          <w:sz w:val="28"/>
          <w:szCs w:val="28"/>
        </w:rPr>
        <w:t>日历天</w:t>
      </w:r>
      <w:r>
        <w:rPr>
          <w:rFonts w:hint="eastAsia" w:ascii="宋体" w:hAnsi="宋体" w:eastAsia="宋体" w:cs="宋体"/>
          <w:color w:val="auto"/>
          <w:sz w:val="28"/>
          <w:szCs w:val="28"/>
        </w:rPr>
        <w:t>内</w:t>
      </w:r>
      <w:r>
        <w:rPr>
          <w:rFonts w:hint="eastAsia" w:ascii="宋体" w:hAnsi="宋体" w:eastAsia="宋体" w:cs="宋体"/>
          <w:color w:val="auto"/>
          <w:kern w:val="0"/>
          <w:sz w:val="28"/>
          <w:szCs w:val="28"/>
        </w:rPr>
        <w:t>向采购人提交施工图设计文件和施工图设计文件审查合格书，具体服务期限以签订合同后至工程缺陷责任期满之日止为准。</w:t>
      </w:r>
    </w:p>
    <w:p w14:paraId="220D09E9">
      <w:pPr>
        <w:spacing w:line="360" w:lineRule="auto"/>
        <w:ind w:firstLine="560" w:firstLineChars="200"/>
        <w:rPr>
          <w:rFonts w:hint="eastAsia" w:ascii="宋体" w:hAnsi="宋体" w:eastAsia="宋体" w:cs="宋体"/>
          <w:color w:val="auto"/>
          <w:kern w:val="0"/>
          <w:sz w:val="28"/>
          <w:szCs w:val="28"/>
          <w:lang w:val="en-US" w:eastAsia="zh-CN"/>
        </w:rPr>
      </w:pPr>
      <w:r>
        <w:rPr>
          <w:rFonts w:hint="eastAsia" w:ascii="宋体" w:hAnsi="宋体" w:eastAsia="宋体" w:cs="宋体"/>
          <w:color w:val="auto"/>
          <w:sz w:val="28"/>
          <w:szCs w:val="28"/>
        </w:rPr>
        <w:t>本项目是否接受联合体：</w:t>
      </w:r>
      <w:r>
        <w:rPr>
          <w:rFonts w:hint="eastAsia" w:ascii="宋体" w:hAnsi="宋体" w:eastAsia="宋体" w:cs="宋体"/>
          <w:color w:val="auto"/>
          <w:sz w:val="28"/>
          <w:szCs w:val="28"/>
          <w:lang w:val="en-US" w:eastAsia="zh-CN"/>
        </w:rPr>
        <w:t>否</w:t>
      </w:r>
    </w:p>
    <w:p w14:paraId="5E4C8F1B">
      <w:pPr>
        <w:pStyle w:val="5"/>
        <w:spacing w:line="360" w:lineRule="auto"/>
        <w:rPr>
          <w:rFonts w:hint="eastAsia" w:ascii="宋体" w:hAnsi="宋体" w:eastAsia="宋体" w:cs="宋体"/>
          <w:bCs w:val="0"/>
          <w:color w:val="auto"/>
          <w:sz w:val="28"/>
          <w:szCs w:val="28"/>
        </w:rPr>
      </w:pPr>
      <w:bookmarkStart w:id="5" w:name="_Toc28359090"/>
      <w:bookmarkStart w:id="6" w:name="_Toc28359013"/>
      <w:bookmarkStart w:id="7" w:name="_Toc35393630"/>
      <w:bookmarkStart w:id="8" w:name="_Toc35393799"/>
      <w:r>
        <w:rPr>
          <w:rFonts w:hint="eastAsia" w:ascii="宋体" w:hAnsi="宋体" w:eastAsia="宋体" w:cs="宋体"/>
          <w:bCs w:val="0"/>
          <w:color w:val="auto"/>
          <w:sz w:val="28"/>
          <w:szCs w:val="28"/>
        </w:rPr>
        <w:t>二、申请人的资格要求：</w:t>
      </w:r>
      <w:bookmarkEnd w:id="5"/>
      <w:bookmarkEnd w:id="6"/>
      <w:bookmarkEnd w:id="7"/>
      <w:bookmarkEnd w:id="8"/>
    </w:p>
    <w:p w14:paraId="16ECEF93">
      <w:pPr>
        <w:spacing w:line="360" w:lineRule="auto"/>
        <w:ind w:firstLine="560" w:firstLineChars="200"/>
        <w:rPr>
          <w:rFonts w:hint="eastAsia" w:ascii="宋体" w:hAnsi="宋体" w:eastAsia="宋体" w:cs="宋体"/>
          <w:color w:val="auto"/>
          <w:sz w:val="28"/>
          <w:szCs w:val="28"/>
          <w:highlight w:val="none"/>
          <w:lang w:val="en-US" w:eastAsia="zh-CN"/>
        </w:rPr>
      </w:pPr>
      <w:bookmarkStart w:id="9" w:name="_Toc28359014"/>
      <w:bookmarkStart w:id="10" w:name="_Toc28359091"/>
      <w:bookmarkStart w:id="11" w:name="_Toc35393800"/>
      <w:bookmarkStart w:id="12" w:name="_Toc35393631"/>
      <w:r>
        <w:rPr>
          <w:rFonts w:hint="eastAsia" w:ascii="宋体" w:hAnsi="宋体" w:eastAsia="宋体" w:cs="宋体"/>
          <w:color w:val="auto"/>
          <w:sz w:val="28"/>
          <w:szCs w:val="28"/>
          <w:highlight w:val="none"/>
          <w:lang w:val="en-US" w:eastAsia="zh-CN"/>
        </w:rPr>
        <w:t xml:space="preserve">1、本次磋商要求供应商须同时具备以下资质： </w:t>
      </w:r>
    </w:p>
    <w:p w14:paraId="715BED26">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（1）建筑行业（建筑工程）专业设计乙级及以上资质或建筑行业设计乙级及以上资质或工程设计综合甲级资质；</w:t>
      </w:r>
    </w:p>
    <w:p w14:paraId="303A9553">
      <w:pPr>
        <w:spacing w:line="360" w:lineRule="auto"/>
        <w:ind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）项目负责人须具备</w:t>
      </w:r>
      <w:r>
        <w:rPr>
          <w:rFonts w:hint="eastAsia" w:ascii="宋体" w:hAnsi="宋体" w:cs="宋体"/>
          <w:color w:val="auto"/>
          <w:sz w:val="28"/>
          <w:szCs w:val="28"/>
          <w:lang w:val="en-US" w:eastAsia="zh-CN"/>
        </w:rPr>
        <w:t>一级及以上注册建筑师</w:t>
      </w:r>
      <w:r>
        <w:rPr>
          <w:rFonts w:hint="eastAsia" w:ascii="宋体" w:hAnsi="宋体" w:eastAsia="宋体" w:cs="宋体"/>
          <w:color w:val="auto"/>
          <w:sz w:val="28"/>
          <w:szCs w:val="28"/>
          <w:lang w:val="en-US" w:eastAsia="zh-CN"/>
        </w:rPr>
        <w:t>。</w:t>
      </w:r>
    </w:p>
    <w:p w14:paraId="3E08FEC8">
      <w:pPr>
        <w:pStyle w:val="5"/>
        <w:spacing w:line="360" w:lineRule="auto"/>
        <w:rPr>
          <w:rFonts w:hint="eastAsia" w:ascii="宋体" w:hAnsi="宋体" w:eastAsia="宋体" w:cs="宋体"/>
          <w:bCs w:val="0"/>
          <w:color w:val="auto"/>
          <w:sz w:val="28"/>
          <w:szCs w:val="28"/>
        </w:rPr>
      </w:pPr>
      <w:r>
        <w:rPr>
          <w:rFonts w:hint="eastAsia" w:ascii="宋体" w:hAnsi="宋体" w:eastAsia="宋体" w:cs="宋体"/>
          <w:bCs w:val="0"/>
          <w:color w:val="auto"/>
          <w:sz w:val="28"/>
          <w:szCs w:val="28"/>
        </w:rPr>
        <w:t>三、获取采购文件</w:t>
      </w:r>
      <w:bookmarkEnd w:id="9"/>
      <w:bookmarkEnd w:id="10"/>
      <w:bookmarkEnd w:id="11"/>
      <w:bookmarkEnd w:id="12"/>
    </w:p>
    <w:p w14:paraId="71ACECF3">
      <w:pPr>
        <w:autoSpaceDE/>
        <w:autoSpaceDN/>
        <w:spacing w:line="360" w:lineRule="auto"/>
        <w:ind w:firstLine="540"/>
        <w:jc w:val="both"/>
        <w:rPr>
          <w:rFonts w:hint="eastAsia" w:ascii="宋体" w:hAnsi="宋体" w:eastAsia="宋体" w:cs="宋体"/>
          <w:color w:val="auto"/>
          <w:kern w:val="2"/>
          <w:sz w:val="28"/>
          <w:szCs w:val="28"/>
          <w:u w:val="single"/>
          <w:lang w:val="en-US" w:bidi="ar-SA"/>
        </w:rPr>
      </w:pPr>
      <w:bookmarkStart w:id="13" w:name="_Toc35393632"/>
      <w:bookmarkStart w:id="14" w:name="_Toc28359015"/>
      <w:bookmarkStart w:id="15" w:name="_Toc35393801"/>
      <w:bookmarkStart w:id="16" w:name="_Toc28359092"/>
      <w:r>
        <w:rPr>
          <w:rFonts w:hint="eastAsia" w:ascii="宋体" w:hAnsi="宋体" w:eastAsia="宋体" w:cs="宋体"/>
          <w:color w:val="auto"/>
          <w:kern w:val="2"/>
          <w:sz w:val="28"/>
          <w:szCs w:val="28"/>
          <w:lang w:val="en-US" w:bidi="ar-SA"/>
        </w:rPr>
        <w:t>时间：</w:t>
      </w:r>
      <w:r>
        <w:rPr>
          <w:rFonts w:hint="eastAsia" w:ascii="宋体" w:hAnsi="宋体" w:eastAsia="宋体" w:cs="宋体"/>
          <w:color w:val="auto"/>
          <w:sz w:val="28"/>
          <w:szCs w:val="28"/>
          <w:u w:val="none"/>
          <w:lang w:val="en-US" w:eastAsia="zh-CN"/>
        </w:rPr>
        <w:t>202</w:t>
      </w:r>
      <w:r>
        <w:rPr>
          <w:rFonts w:hint="eastAsia" w:ascii="宋体" w:hAnsi="宋体" w:cs="宋体"/>
          <w:color w:val="auto"/>
          <w:sz w:val="28"/>
          <w:szCs w:val="28"/>
          <w:u w:val="none"/>
          <w:lang w:val="en-US" w:eastAsia="zh-CN"/>
        </w:rPr>
        <w:t>6</w:t>
      </w:r>
      <w:r>
        <w:rPr>
          <w:rFonts w:hint="eastAsia" w:ascii="宋体" w:hAnsi="宋体" w:eastAsia="宋体" w:cs="宋体"/>
          <w:color w:val="auto"/>
          <w:sz w:val="28"/>
          <w:szCs w:val="28"/>
          <w:u w:val="none"/>
        </w:rPr>
        <w:t>年</w:t>
      </w:r>
      <w:r>
        <w:rPr>
          <w:rFonts w:hint="eastAsia" w:ascii="宋体" w:hAnsi="宋体" w:cs="宋体"/>
          <w:color w:val="auto"/>
          <w:sz w:val="28"/>
          <w:szCs w:val="28"/>
          <w:u w:val="none"/>
          <w:lang w:val="en-US" w:eastAsia="zh-CN"/>
        </w:rPr>
        <w:t>7</w:t>
      </w:r>
      <w:r>
        <w:rPr>
          <w:rFonts w:hint="eastAsia" w:ascii="宋体" w:hAnsi="宋体" w:eastAsia="宋体" w:cs="宋体"/>
          <w:color w:val="auto"/>
          <w:sz w:val="28"/>
          <w:szCs w:val="28"/>
          <w:u w:val="none"/>
        </w:rPr>
        <w:t>月</w:t>
      </w:r>
      <w:r>
        <w:rPr>
          <w:rFonts w:hint="eastAsia" w:ascii="宋体" w:hAnsi="宋体" w:cs="宋体"/>
          <w:color w:val="auto"/>
          <w:sz w:val="28"/>
          <w:szCs w:val="28"/>
          <w:u w:val="none"/>
          <w:lang w:val="en-US" w:eastAsia="zh-CN"/>
        </w:rPr>
        <w:t>01</w:t>
      </w:r>
      <w:r>
        <w:rPr>
          <w:rFonts w:hint="eastAsia" w:ascii="宋体" w:hAnsi="宋体" w:eastAsia="宋体" w:cs="宋体"/>
          <w:color w:val="auto"/>
          <w:sz w:val="28"/>
          <w:szCs w:val="28"/>
          <w:u w:val="none"/>
        </w:rPr>
        <w:t>日至</w:t>
      </w:r>
      <w:r>
        <w:rPr>
          <w:rFonts w:hint="eastAsia" w:ascii="宋体" w:hAnsi="宋体" w:eastAsia="宋体" w:cs="宋体"/>
          <w:color w:val="auto"/>
          <w:sz w:val="28"/>
          <w:szCs w:val="28"/>
          <w:u w:val="none"/>
          <w:lang w:val="en-US" w:eastAsia="zh-CN"/>
        </w:rPr>
        <w:t>202</w:t>
      </w:r>
      <w:r>
        <w:rPr>
          <w:rFonts w:hint="eastAsia" w:ascii="宋体" w:hAnsi="宋体" w:cs="宋体"/>
          <w:color w:val="auto"/>
          <w:sz w:val="28"/>
          <w:szCs w:val="28"/>
          <w:u w:val="none"/>
          <w:lang w:val="en-US" w:eastAsia="zh-CN"/>
        </w:rPr>
        <w:t>6</w:t>
      </w:r>
      <w:r>
        <w:rPr>
          <w:rFonts w:hint="eastAsia" w:ascii="宋体" w:hAnsi="宋体" w:eastAsia="宋体" w:cs="宋体"/>
          <w:color w:val="auto"/>
          <w:sz w:val="28"/>
          <w:szCs w:val="28"/>
          <w:u w:val="none"/>
          <w:lang w:val="en-US" w:eastAsia="zh-CN"/>
        </w:rPr>
        <w:t>年</w:t>
      </w:r>
      <w:r>
        <w:rPr>
          <w:rFonts w:hint="eastAsia" w:ascii="宋体" w:hAnsi="宋体" w:cs="宋体"/>
          <w:color w:val="auto"/>
          <w:sz w:val="28"/>
          <w:szCs w:val="28"/>
          <w:u w:val="none"/>
          <w:lang w:val="en-US" w:eastAsia="zh-CN"/>
        </w:rPr>
        <w:t>7</w:t>
      </w:r>
      <w:r>
        <w:rPr>
          <w:rFonts w:hint="eastAsia" w:ascii="宋体" w:hAnsi="宋体" w:eastAsia="宋体" w:cs="宋体"/>
          <w:color w:val="auto"/>
          <w:sz w:val="28"/>
          <w:szCs w:val="28"/>
          <w:u w:val="none"/>
          <w:lang w:val="en-US" w:eastAsia="zh-CN"/>
        </w:rPr>
        <w:t>月</w:t>
      </w:r>
      <w:r>
        <w:rPr>
          <w:rFonts w:hint="eastAsia" w:ascii="宋体" w:hAnsi="宋体" w:cs="宋体"/>
          <w:color w:val="auto"/>
          <w:sz w:val="28"/>
          <w:szCs w:val="28"/>
          <w:u w:val="none"/>
          <w:lang w:val="en-US" w:eastAsia="zh-CN"/>
        </w:rPr>
        <w:t>13</w:t>
      </w:r>
      <w:r>
        <w:rPr>
          <w:rFonts w:hint="eastAsia" w:ascii="宋体" w:hAnsi="宋体" w:eastAsia="宋体" w:cs="宋体"/>
          <w:color w:val="auto"/>
          <w:sz w:val="28"/>
          <w:szCs w:val="28"/>
          <w:u w:val="none"/>
          <w:lang w:val="en-US" w:eastAsia="zh-CN"/>
        </w:rPr>
        <w:t>日</w:t>
      </w:r>
      <w:r>
        <w:rPr>
          <w:rFonts w:hint="eastAsia" w:ascii="宋体" w:hAnsi="宋体" w:cs="宋体"/>
          <w:color w:val="auto"/>
          <w:sz w:val="28"/>
          <w:szCs w:val="28"/>
          <w:u w:val="none"/>
          <w:lang w:val="en-US" w:eastAsia="zh-CN"/>
        </w:rPr>
        <w:t>15</w:t>
      </w:r>
      <w:r>
        <w:rPr>
          <w:rFonts w:hint="eastAsia" w:ascii="宋体" w:hAnsi="宋体" w:eastAsia="宋体" w:cs="宋体"/>
          <w:color w:val="auto"/>
          <w:sz w:val="28"/>
          <w:szCs w:val="28"/>
          <w:u w:val="none"/>
          <w:lang w:val="en-US" w:eastAsia="zh-CN"/>
        </w:rPr>
        <w:t>点</w:t>
      </w:r>
      <w:r>
        <w:rPr>
          <w:rFonts w:hint="eastAsia" w:ascii="宋体" w:hAnsi="宋体" w:cs="宋体"/>
          <w:color w:val="auto"/>
          <w:sz w:val="28"/>
          <w:szCs w:val="28"/>
          <w:u w:val="none"/>
          <w:lang w:val="en-US" w:eastAsia="zh-CN"/>
        </w:rPr>
        <w:t>00</w:t>
      </w:r>
      <w:r>
        <w:rPr>
          <w:rFonts w:hint="eastAsia" w:ascii="宋体" w:hAnsi="宋体" w:eastAsia="宋体" w:cs="宋体"/>
          <w:color w:val="auto"/>
          <w:sz w:val="28"/>
          <w:szCs w:val="28"/>
          <w:u w:val="none"/>
          <w:lang w:val="en-US" w:eastAsia="zh-CN"/>
        </w:rPr>
        <w:t>分</w:t>
      </w:r>
      <w:r>
        <w:rPr>
          <w:rFonts w:hint="eastAsia" w:ascii="宋体" w:hAnsi="宋体" w:eastAsia="宋体" w:cs="宋体"/>
          <w:color w:val="auto"/>
          <w:sz w:val="28"/>
          <w:szCs w:val="28"/>
          <w:u w:val="none"/>
        </w:rPr>
        <w:t>（磋商文件的发售期限自开始之日起不得少于5个工作日）</w:t>
      </w:r>
      <w:r>
        <w:rPr>
          <w:rFonts w:hint="eastAsia" w:ascii="宋体" w:hAnsi="宋体" w:eastAsia="宋体" w:cs="宋体"/>
          <w:color w:val="auto"/>
          <w:kern w:val="2"/>
          <w:sz w:val="28"/>
          <w:szCs w:val="28"/>
          <w:lang w:val="en-US" w:bidi="ar-SA"/>
        </w:rPr>
        <w:t xml:space="preserve"> </w:t>
      </w:r>
    </w:p>
    <w:p w14:paraId="7E926FA6">
      <w:pPr>
        <w:autoSpaceDE/>
        <w:autoSpaceDN/>
        <w:spacing w:line="360" w:lineRule="auto"/>
        <w:ind w:firstLine="540"/>
        <w:jc w:val="both"/>
        <w:rPr>
          <w:rFonts w:hint="eastAsia" w:ascii="宋体" w:hAnsi="宋体" w:eastAsia="宋体" w:cs="宋体"/>
          <w:color w:val="auto"/>
          <w:sz w:val="28"/>
          <w:szCs w:val="28"/>
          <w:u w:val="none"/>
        </w:rPr>
      </w:pPr>
      <w:r>
        <w:rPr>
          <w:rFonts w:hint="eastAsia" w:ascii="宋体" w:hAnsi="宋体" w:eastAsia="宋体" w:cs="宋体"/>
          <w:color w:val="auto"/>
          <w:sz w:val="28"/>
          <w:szCs w:val="28"/>
          <w:u w:val="none"/>
        </w:rPr>
        <w:t>方式：凡有意参加的供应商，可在</w:t>
      </w:r>
      <w:r>
        <w:rPr>
          <w:rFonts w:hint="eastAsia" w:ascii="宋体" w:hAnsi="宋体" w:eastAsia="宋体" w:cs="宋体"/>
          <w:color w:val="auto"/>
          <w:sz w:val="28"/>
          <w:szCs w:val="28"/>
          <w:highlight w:val="none"/>
          <w:lang w:val="en-US" w:eastAsia="zh-CN"/>
        </w:rPr>
        <w:t>界首市城乡建设发展集团有限公司http://www.jscxjs.cn/</w:t>
      </w:r>
      <w:r>
        <w:rPr>
          <w:rFonts w:hint="eastAsia" w:ascii="宋体" w:hAnsi="宋体" w:eastAsia="宋体" w:cs="宋体"/>
          <w:color w:val="auto"/>
          <w:sz w:val="28"/>
          <w:szCs w:val="28"/>
          <w:u w:val="none"/>
        </w:rPr>
        <w:t>网站下载</w:t>
      </w:r>
      <w:r>
        <w:rPr>
          <w:rFonts w:hint="eastAsia" w:ascii="宋体" w:hAnsi="宋体" w:eastAsia="宋体" w:cs="宋体"/>
          <w:color w:val="auto"/>
          <w:sz w:val="28"/>
          <w:szCs w:val="28"/>
          <w:u w:val="none"/>
          <w:lang w:val="en-US" w:eastAsia="zh-CN"/>
        </w:rPr>
        <w:t>采购</w:t>
      </w:r>
      <w:r>
        <w:rPr>
          <w:rFonts w:hint="eastAsia" w:ascii="宋体" w:hAnsi="宋体" w:eastAsia="宋体" w:cs="宋体"/>
          <w:color w:val="auto"/>
          <w:sz w:val="28"/>
          <w:szCs w:val="28"/>
          <w:u w:val="none"/>
        </w:rPr>
        <w:t>文件</w:t>
      </w:r>
      <w:r>
        <w:rPr>
          <w:rFonts w:hint="eastAsia" w:ascii="宋体" w:hAnsi="宋体" w:eastAsia="宋体" w:cs="宋体"/>
          <w:color w:val="auto"/>
          <w:sz w:val="28"/>
          <w:szCs w:val="28"/>
          <w:u w:val="none"/>
          <w:lang w:eastAsia="zh-CN"/>
        </w:rPr>
        <w:t>。</w:t>
      </w:r>
      <w:r>
        <w:rPr>
          <w:rFonts w:hint="eastAsia" w:ascii="宋体" w:hAnsi="宋体" w:eastAsia="宋体" w:cs="宋体"/>
          <w:color w:val="auto"/>
          <w:sz w:val="28"/>
          <w:szCs w:val="28"/>
          <w:u w:val="none"/>
        </w:rPr>
        <w:t xml:space="preserve">  </w:t>
      </w:r>
    </w:p>
    <w:p w14:paraId="05690B01">
      <w:pPr>
        <w:spacing w:line="360" w:lineRule="auto"/>
        <w:ind w:firstLine="560" w:firstLineChars="200"/>
        <w:rPr>
          <w:rFonts w:hint="eastAsia" w:ascii="宋体" w:hAnsi="宋体" w:eastAsia="宋体" w:cs="宋体"/>
          <w:b w:val="0"/>
          <w:bCs w:val="0"/>
          <w:color w:val="auto"/>
          <w:kern w:val="2"/>
          <w:sz w:val="21"/>
          <w:szCs w:val="22"/>
          <w:lang w:val="en-US" w:eastAsia="zh-CN" w:bidi="ar-SA"/>
        </w:rPr>
      </w:pPr>
      <w:r>
        <w:rPr>
          <w:rFonts w:hint="eastAsia" w:ascii="宋体" w:hAnsi="宋体" w:eastAsia="宋体" w:cs="宋体"/>
          <w:color w:val="auto"/>
          <w:kern w:val="2"/>
          <w:sz w:val="28"/>
          <w:szCs w:val="28"/>
          <w:lang w:val="en-US" w:bidi="ar-SA"/>
        </w:rPr>
        <w:t>售价</w:t>
      </w:r>
      <w:r>
        <w:rPr>
          <w:rFonts w:hint="eastAsia" w:ascii="宋体" w:hAnsi="宋体" w:eastAsia="宋体" w:cs="宋体"/>
          <w:color w:val="auto"/>
          <w:sz w:val="28"/>
          <w:szCs w:val="28"/>
          <w:u w:val="none"/>
          <w:lang w:val="en-US"/>
        </w:rPr>
        <w:t>：</w:t>
      </w:r>
      <w:r>
        <w:rPr>
          <w:rFonts w:hint="eastAsia" w:ascii="宋体" w:hAnsi="宋体" w:eastAsia="宋体" w:cs="宋体"/>
          <w:color w:val="auto"/>
          <w:sz w:val="28"/>
          <w:szCs w:val="28"/>
          <w:u w:val="none"/>
          <w:lang w:val="en-US" w:eastAsia="zh-CN"/>
        </w:rPr>
        <w:t>500</w:t>
      </w:r>
      <w:r>
        <w:rPr>
          <w:rFonts w:hint="eastAsia" w:ascii="宋体" w:hAnsi="宋体" w:eastAsia="宋体" w:cs="宋体"/>
          <w:color w:val="auto"/>
          <w:sz w:val="28"/>
          <w:szCs w:val="28"/>
          <w:u w:val="none"/>
          <w:lang w:val="en-US"/>
        </w:rPr>
        <w:t>元</w:t>
      </w:r>
      <w:r>
        <w:rPr>
          <w:rFonts w:hint="eastAsia" w:ascii="宋体" w:hAnsi="宋体" w:eastAsia="宋体" w:cs="宋体"/>
          <w:color w:val="auto"/>
          <w:sz w:val="28"/>
          <w:szCs w:val="28"/>
          <w:u w:val="none"/>
          <w:lang w:val="en-US" w:eastAsia="zh-CN"/>
        </w:rPr>
        <w:t>（售后不退）</w:t>
      </w:r>
      <w:r>
        <w:rPr>
          <w:rFonts w:hint="eastAsia" w:ascii="宋体" w:hAnsi="宋体" w:eastAsia="宋体" w:cs="宋体"/>
          <w:b w:val="0"/>
          <w:bCs w:val="0"/>
          <w:color w:val="auto"/>
          <w:kern w:val="2"/>
          <w:sz w:val="28"/>
          <w:szCs w:val="28"/>
          <w:lang w:val="en-US" w:eastAsia="zh-CN" w:bidi="ar-SA"/>
        </w:rPr>
        <w:t>。</w:t>
      </w:r>
    </w:p>
    <w:p w14:paraId="77B89BFF">
      <w:pPr>
        <w:pStyle w:val="5"/>
        <w:spacing w:line="360" w:lineRule="auto"/>
        <w:rPr>
          <w:rFonts w:hint="eastAsia" w:ascii="宋体" w:hAnsi="宋体" w:eastAsia="宋体" w:cs="宋体"/>
          <w:bCs w:val="0"/>
          <w:color w:val="auto"/>
          <w:sz w:val="28"/>
          <w:szCs w:val="28"/>
        </w:rPr>
      </w:pPr>
      <w:r>
        <w:rPr>
          <w:rFonts w:hint="eastAsia" w:ascii="宋体" w:hAnsi="宋体" w:eastAsia="宋体" w:cs="宋体"/>
          <w:bCs w:val="0"/>
          <w:color w:val="auto"/>
          <w:sz w:val="28"/>
          <w:szCs w:val="28"/>
        </w:rPr>
        <w:t>四、响应文件提交</w:t>
      </w:r>
      <w:bookmarkEnd w:id="13"/>
      <w:bookmarkEnd w:id="14"/>
      <w:bookmarkEnd w:id="15"/>
      <w:bookmarkEnd w:id="16"/>
    </w:p>
    <w:p w14:paraId="7257436F">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1、截止时间：202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年</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月</w:t>
      </w:r>
      <w:r>
        <w:rPr>
          <w:rFonts w:hint="eastAsia" w:ascii="宋体" w:hAnsi="宋体" w:cs="宋体"/>
          <w:color w:val="auto"/>
          <w:sz w:val="28"/>
          <w:szCs w:val="28"/>
          <w:highlight w:val="none"/>
          <w:lang w:val="en-US" w:eastAsia="zh-CN"/>
        </w:rPr>
        <w:t>13</w:t>
      </w:r>
      <w:r>
        <w:rPr>
          <w:rFonts w:hint="eastAsia" w:ascii="宋体" w:hAnsi="宋体" w:eastAsia="宋体" w:cs="宋体"/>
          <w:color w:val="auto"/>
          <w:sz w:val="28"/>
          <w:szCs w:val="28"/>
          <w:highlight w:val="none"/>
          <w:lang w:val="en-US" w:eastAsia="zh-CN"/>
        </w:rPr>
        <w:t>日</w:t>
      </w:r>
      <w:r>
        <w:rPr>
          <w:rFonts w:hint="eastAsia" w:ascii="宋体" w:hAnsi="宋体" w:cs="宋体"/>
          <w:color w:val="auto"/>
          <w:sz w:val="28"/>
          <w:szCs w:val="28"/>
          <w:highlight w:val="none"/>
          <w:lang w:val="en-US" w:eastAsia="zh-CN"/>
        </w:rPr>
        <w:t>15</w:t>
      </w:r>
      <w:r>
        <w:rPr>
          <w:rFonts w:hint="eastAsia" w:ascii="宋体" w:hAnsi="宋体" w:eastAsia="宋体" w:cs="宋体"/>
          <w:color w:val="auto"/>
          <w:sz w:val="28"/>
          <w:szCs w:val="28"/>
          <w:highlight w:val="none"/>
          <w:lang w:val="en-US" w:eastAsia="zh-CN"/>
        </w:rPr>
        <w:t>点</w:t>
      </w:r>
      <w:r>
        <w:rPr>
          <w:rFonts w:hint="eastAsia" w:ascii="宋体" w:hAnsi="宋体" w:cs="宋体"/>
          <w:color w:val="auto"/>
          <w:sz w:val="28"/>
          <w:szCs w:val="28"/>
          <w:highlight w:val="none"/>
          <w:lang w:val="en-US" w:eastAsia="zh-CN"/>
        </w:rPr>
        <w:t>00</w:t>
      </w:r>
      <w:r>
        <w:rPr>
          <w:rFonts w:hint="eastAsia" w:ascii="宋体" w:hAnsi="宋体" w:eastAsia="宋体" w:cs="宋体"/>
          <w:color w:val="auto"/>
          <w:sz w:val="28"/>
          <w:szCs w:val="28"/>
          <w:highlight w:val="none"/>
          <w:lang w:val="en-US" w:eastAsia="zh-CN"/>
        </w:rPr>
        <w:t>分（北京时间），响应文件递交截止时间前一小时内，迟于截止时间递交的响应文件，将不予接收。</w:t>
      </w:r>
    </w:p>
    <w:p w14:paraId="43CB19A6">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2、地点：安徽省界首市全季酒店5楼会议室</w:t>
      </w:r>
    </w:p>
    <w:p w14:paraId="40968925">
      <w:pPr>
        <w:pStyle w:val="5"/>
        <w:spacing w:line="360" w:lineRule="auto"/>
        <w:rPr>
          <w:rFonts w:hint="eastAsia" w:ascii="宋体" w:hAnsi="宋体" w:eastAsia="宋体" w:cs="宋体"/>
          <w:bCs w:val="0"/>
          <w:color w:val="auto"/>
          <w:sz w:val="28"/>
          <w:szCs w:val="28"/>
        </w:rPr>
      </w:pPr>
      <w:bookmarkStart w:id="17" w:name="_Toc28359093"/>
      <w:bookmarkStart w:id="18" w:name="_Toc28359016"/>
      <w:bookmarkStart w:id="19" w:name="_Toc35393802"/>
      <w:bookmarkStart w:id="20" w:name="_Toc35393633"/>
      <w:r>
        <w:rPr>
          <w:rFonts w:hint="eastAsia" w:ascii="宋体" w:hAnsi="宋体" w:eastAsia="宋体" w:cs="宋体"/>
          <w:bCs w:val="0"/>
          <w:color w:val="auto"/>
          <w:sz w:val="28"/>
          <w:szCs w:val="28"/>
        </w:rPr>
        <w:t>五、开启</w:t>
      </w:r>
      <w:bookmarkEnd w:id="17"/>
      <w:bookmarkEnd w:id="18"/>
      <w:bookmarkEnd w:id="19"/>
      <w:bookmarkEnd w:id="20"/>
    </w:p>
    <w:p w14:paraId="2AF947F8">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时间：同响应文件提交截止时间。</w:t>
      </w:r>
    </w:p>
    <w:p w14:paraId="0D45A385">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地点：同响应文件提交地点。</w:t>
      </w:r>
    </w:p>
    <w:p w14:paraId="630DE2CE">
      <w:pPr>
        <w:pStyle w:val="5"/>
        <w:spacing w:line="360" w:lineRule="auto"/>
        <w:rPr>
          <w:rFonts w:hint="eastAsia" w:ascii="宋体" w:hAnsi="宋体" w:eastAsia="宋体" w:cs="宋体"/>
          <w:bCs w:val="0"/>
          <w:color w:val="auto"/>
          <w:sz w:val="28"/>
          <w:szCs w:val="28"/>
        </w:rPr>
      </w:pPr>
      <w:bookmarkStart w:id="21" w:name="_Toc28359094"/>
      <w:bookmarkStart w:id="22" w:name="_Toc35393803"/>
      <w:bookmarkStart w:id="23" w:name="_Toc28359017"/>
      <w:bookmarkStart w:id="24" w:name="_Toc35393634"/>
      <w:r>
        <w:rPr>
          <w:rFonts w:hint="eastAsia" w:ascii="宋体" w:hAnsi="宋体" w:eastAsia="宋体" w:cs="宋体"/>
          <w:bCs w:val="0"/>
          <w:color w:val="auto"/>
          <w:sz w:val="28"/>
          <w:szCs w:val="28"/>
        </w:rPr>
        <w:t>六、公告期限</w:t>
      </w:r>
      <w:bookmarkEnd w:id="21"/>
      <w:bookmarkEnd w:id="22"/>
      <w:bookmarkEnd w:id="23"/>
      <w:bookmarkEnd w:id="24"/>
    </w:p>
    <w:p w14:paraId="04E3EE7A">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自本公告发布之日起3个工作日。</w:t>
      </w:r>
      <w:bookmarkStart w:id="25" w:name="_Toc35393635"/>
      <w:bookmarkStart w:id="26" w:name="_Toc35393804"/>
    </w:p>
    <w:p w14:paraId="695C4810">
      <w:pPr>
        <w:spacing w:line="360" w:lineRule="auto"/>
        <w:rPr>
          <w:rFonts w:hint="eastAsia" w:ascii="宋体" w:hAnsi="宋体" w:eastAsia="宋体" w:cs="宋体"/>
          <w:b w:val="0"/>
          <w:bCs w:val="0"/>
          <w:color w:val="auto"/>
          <w:kern w:val="2"/>
          <w:sz w:val="28"/>
          <w:szCs w:val="28"/>
          <w:highlight w:val="none"/>
          <w:lang w:val="en-US" w:eastAsia="zh-CN" w:bidi="ar-SA"/>
        </w:rPr>
      </w:pPr>
      <w:r>
        <w:rPr>
          <w:rFonts w:hint="eastAsia" w:ascii="宋体" w:hAnsi="宋体" w:eastAsia="宋体" w:cs="宋体"/>
          <w:b/>
          <w:bCs w:val="0"/>
          <w:color w:val="auto"/>
          <w:kern w:val="2"/>
          <w:sz w:val="28"/>
          <w:szCs w:val="28"/>
          <w:lang w:val="en-US" w:eastAsia="zh-CN" w:bidi="ar-SA"/>
        </w:rPr>
        <w:t>七、其他补充事宜</w:t>
      </w:r>
      <w:r>
        <w:rPr>
          <w:rFonts w:hint="eastAsia" w:ascii="宋体" w:hAnsi="宋体" w:eastAsia="宋体" w:cs="宋体"/>
          <w:bCs w:val="0"/>
          <w:color w:val="auto"/>
          <w:sz w:val="28"/>
          <w:szCs w:val="28"/>
          <w:lang w:eastAsia="zh-CN"/>
        </w:rPr>
        <w:t>：</w:t>
      </w:r>
      <w:r>
        <w:rPr>
          <w:rFonts w:hint="eastAsia" w:ascii="宋体" w:hAnsi="宋体" w:eastAsia="宋体" w:cs="宋体"/>
          <w:b w:val="0"/>
          <w:bCs w:val="0"/>
          <w:color w:val="auto"/>
          <w:kern w:val="2"/>
          <w:sz w:val="28"/>
          <w:szCs w:val="28"/>
          <w:highlight w:val="none"/>
          <w:lang w:val="en-US" w:eastAsia="zh-CN" w:bidi="ar-SA"/>
        </w:rPr>
        <w:t>无</w:t>
      </w:r>
      <w:bookmarkEnd w:id="25"/>
      <w:bookmarkEnd w:id="26"/>
    </w:p>
    <w:p w14:paraId="28225AE8">
      <w:pPr>
        <w:pStyle w:val="5"/>
        <w:spacing w:line="360" w:lineRule="auto"/>
        <w:rPr>
          <w:rFonts w:hint="eastAsia" w:ascii="宋体" w:hAnsi="宋体" w:eastAsia="宋体" w:cs="宋体"/>
          <w:bCs w:val="0"/>
          <w:color w:val="auto"/>
          <w:sz w:val="28"/>
          <w:szCs w:val="28"/>
        </w:rPr>
      </w:pPr>
      <w:bookmarkStart w:id="27" w:name="_Toc28359018"/>
      <w:bookmarkStart w:id="28" w:name="_Toc28359095"/>
      <w:bookmarkStart w:id="29" w:name="_Toc35393636"/>
      <w:bookmarkStart w:id="30" w:name="_Toc35393805"/>
      <w:r>
        <w:rPr>
          <w:rFonts w:hint="eastAsia" w:ascii="宋体" w:hAnsi="宋体" w:eastAsia="宋体" w:cs="宋体"/>
          <w:bCs w:val="0"/>
          <w:color w:val="auto"/>
          <w:sz w:val="28"/>
          <w:szCs w:val="28"/>
        </w:rPr>
        <w:t>八、凡对本次采购提出询问，请按以下方式联系。</w:t>
      </w:r>
      <w:bookmarkEnd w:id="27"/>
      <w:bookmarkEnd w:id="28"/>
      <w:bookmarkEnd w:id="29"/>
      <w:bookmarkEnd w:id="30"/>
    </w:p>
    <w:p w14:paraId="7E52DAFF">
      <w:pPr>
        <w:spacing w:line="360" w:lineRule="auto"/>
        <w:ind w:firstLine="560" w:firstLineChars="200"/>
        <w:rPr>
          <w:rFonts w:hint="eastAsia" w:ascii="宋体" w:hAnsi="宋体" w:eastAsia="宋体" w:cs="宋体"/>
          <w:color w:val="auto"/>
          <w:sz w:val="28"/>
          <w:szCs w:val="28"/>
          <w:highlight w:val="none"/>
          <w:lang w:val="en-US" w:eastAsia="zh-CN"/>
        </w:rPr>
      </w:pPr>
      <w:bookmarkStart w:id="31" w:name="_Toc35393806"/>
      <w:bookmarkStart w:id="32" w:name="_Toc35393637"/>
      <w:bookmarkStart w:id="33" w:name="_Toc28359019"/>
      <w:bookmarkStart w:id="34" w:name="_Toc28359096"/>
      <w:r>
        <w:rPr>
          <w:rFonts w:hint="eastAsia" w:ascii="宋体" w:hAnsi="宋体" w:eastAsia="宋体" w:cs="宋体"/>
          <w:color w:val="auto"/>
          <w:sz w:val="28"/>
          <w:szCs w:val="28"/>
          <w:highlight w:val="none"/>
          <w:lang w:val="en-US" w:eastAsia="zh-CN"/>
        </w:rPr>
        <w:t>1.采购人信息</w:t>
      </w:r>
      <w:bookmarkEnd w:id="31"/>
      <w:bookmarkEnd w:id="32"/>
      <w:bookmarkEnd w:id="33"/>
      <w:bookmarkEnd w:id="34"/>
    </w:p>
    <w:p w14:paraId="4050897D">
      <w:pPr>
        <w:spacing w:line="360" w:lineRule="auto"/>
        <w:ind w:firstLine="560" w:firstLineChars="200"/>
        <w:rPr>
          <w:rFonts w:hint="eastAsia" w:ascii="宋体" w:hAnsi="宋体" w:eastAsia="宋体" w:cs="宋体"/>
          <w:color w:val="auto"/>
          <w:sz w:val="28"/>
          <w:szCs w:val="28"/>
          <w:highlight w:val="none"/>
          <w:lang w:val="en-US" w:eastAsia="zh-CN"/>
        </w:rPr>
      </w:pPr>
      <w:bookmarkStart w:id="35" w:name="_Toc28359020"/>
      <w:bookmarkStart w:id="36" w:name="_Toc35393807"/>
      <w:bookmarkStart w:id="37" w:name="_Toc28359097"/>
      <w:bookmarkStart w:id="38" w:name="_Toc35393638"/>
      <w:r>
        <w:rPr>
          <w:rFonts w:hint="eastAsia" w:ascii="宋体" w:hAnsi="宋体" w:eastAsia="宋体" w:cs="宋体"/>
          <w:color w:val="auto"/>
          <w:sz w:val="28"/>
          <w:szCs w:val="28"/>
          <w:highlight w:val="none"/>
          <w:lang w:val="en-US" w:eastAsia="zh-CN"/>
        </w:rPr>
        <w:t>名    称：</w:t>
      </w:r>
      <w:r>
        <w:rPr>
          <w:rFonts w:hint="eastAsia" w:ascii="宋体" w:hAnsi="宋体" w:cs="宋体"/>
          <w:color w:val="auto"/>
          <w:sz w:val="28"/>
          <w:szCs w:val="28"/>
          <w:highlight w:val="none"/>
          <w:lang w:val="en-US" w:eastAsia="zh-CN"/>
        </w:rPr>
        <w:t>界首市乐居振兴建设发展有限公司</w:t>
      </w:r>
    </w:p>
    <w:p w14:paraId="308B4104">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址：安徽省阜阳市界首市郭洼路115号117栋3楼</w:t>
      </w:r>
    </w:p>
    <w:p w14:paraId="6E349628">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联系方式：13295582307  </w:t>
      </w:r>
    </w:p>
    <w:p w14:paraId="14EDC8B2">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bookmarkEnd w:id="35"/>
      <w:bookmarkEnd w:id="36"/>
      <w:bookmarkEnd w:id="37"/>
      <w:bookmarkEnd w:id="38"/>
    </w:p>
    <w:p w14:paraId="49EDC7C3">
      <w:pPr>
        <w:spacing w:line="360" w:lineRule="auto"/>
        <w:ind w:firstLine="560" w:firstLineChars="200"/>
        <w:rPr>
          <w:rFonts w:hint="eastAsia" w:ascii="宋体" w:hAnsi="宋体" w:eastAsia="宋体" w:cs="宋体"/>
          <w:color w:val="auto"/>
          <w:sz w:val="28"/>
          <w:szCs w:val="28"/>
          <w:highlight w:val="none"/>
          <w:lang w:val="en-US" w:eastAsia="zh-CN"/>
        </w:rPr>
      </w:pPr>
      <w:bookmarkStart w:id="39" w:name="_Toc28359098"/>
      <w:bookmarkStart w:id="40" w:name="_Toc28359021"/>
      <w:bookmarkStart w:id="41" w:name="_Toc35393808"/>
      <w:bookmarkStart w:id="42" w:name="_Toc35393639"/>
      <w:r>
        <w:rPr>
          <w:rFonts w:hint="eastAsia" w:ascii="宋体" w:hAnsi="宋体" w:eastAsia="宋体" w:cs="宋体"/>
          <w:color w:val="auto"/>
          <w:sz w:val="28"/>
          <w:szCs w:val="28"/>
          <w:highlight w:val="none"/>
          <w:lang w:val="en-US" w:eastAsia="zh-CN"/>
        </w:rPr>
        <w:t>名    称：安徽巍昂工程管理咨询有限公司</w:t>
      </w:r>
    </w:p>
    <w:p w14:paraId="1E694B3F">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址：安徽省阜阳市界首市东城天安路36号7栋202室</w:t>
      </w:r>
    </w:p>
    <w:p w14:paraId="483E363E">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联系方式：18134669785  </w:t>
      </w:r>
    </w:p>
    <w:p w14:paraId="42230776">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3.项目联系方式</w:t>
      </w:r>
    </w:p>
    <w:p w14:paraId="7DB4DE20">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项目联系人：赵工</w:t>
      </w:r>
    </w:p>
    <w:p w14:paraId="016461A7">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电　　 话：18134669785 </w:t>
      </w:r>
    </w:p>
    <w:p w14:paraId="26D5AC5A">
      <w:pPr>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p>
    <w:bookmarkEnd w:id="39"/>
    <w:bookmarkEnd w:id="40"/>
    <w:bookmarkEnd w:id="41"/>
    <w:bookmarkEnd w:id="42"/>
    <w:p w14:paraId="22519134">
      <w:pPr>
        <w:pStyle w:val="23"/>
        <w:rPr>
          <w:rFonts w:hint="eastAsia" w:ascii="宋体" w:hAnsi="宋体" w:eastAsia="宋体" w:cs="宋体"/>
          <w:color w:val="auto"/>
          <w:highlight w:val="yellow"/>
          <w:u w:val="single"/>
        </w:rPr>
      </w:pPr>
    </w:p>
    <w:p w14:paraId="5E831442">
      <w:pPr>
        <w:pStyle w:val="23"/>
        <w:jc w:val="center"/>
        <w:rPr>
          <w:rFonts w:hint="eastAsia" w:ascii="宋体" w:hAnsi="宋体" w:eastAsia="宋体" w:cs="宋体"/>
          <w:color w:val="auto"/>
          <w:u w:val="none"/>
          <w:lang w:val="en-US" w:eastAsia="zh-CN"/>
        </w:rPr>
      </w:pPr>
      <w:r>
        <w:rPr>
          <w:rFonts w:hint="eastAsia" w:ascii="宋体" w:hAnsi="宋体" w:eastAsia="宋体" w:cs="宋体"/>
          <w:color w:val="auto"/>
          <w:u w:val="none"/>
          <w:lang w:val="en-US" w:eastAsia="zh-CN"/>
        </w:rPr>
        <w:t xml:space="preserve">    </w:t>
      </w:r>
    </w:p>
    <w:p w14:paraId="40D6CAF3">
      <w:pPr>
        <w:pStyle w:val="23"/>
        <w:jc w:val="center"/>
        <w:rPr>
          <w:rFonts w:hint="eastAsia" w:ascii="宋体" w:hAnsi="宋体" w:eastAsia="宋体" w:cs="宋体"/>
          <w:color w:val="auto"/>
          <w:u w:val="none"/>
          <w:lang w:val="en-US" w:eastAsia="zh-CN"/>
        </w:rPr>
      </w:pPr>
    </w:p>
    <w:p w14:paraId="08F761D7">
      <w:pPr>
        <w:pStyle w:val="23"/>
        <w:jc w:val="center"/>
        <w:rPr>
          <w:rFonts w:hint="eastAsia" w:ascii="宋体" w:hAnsi="宋体" w:eastAsia="宋体" w:cs="宋体"/>
          <w:color w:val="auto"/>
          <w:u w:val="none"/>
          <w:lang w:val="en-US" w:eastAsia="zh-CN"/>
        </w:rPr>
      </w:pPr>
    </w:p>
    <w:p w14:paraId="757E122F">
      <w:pPr>
        <w:pStyle w:val="31"/>
        <w:rPr>
          <w:rFonts w:hint="eastAsia" w:ascii="宋体" w:hAnsi="宋体" w:eastAsia="宋体" w:cs="宋体"/>
          <w:color w:val="auto"/>
          <w:u w:val="none"/>
          <w:lang w:val="en-US" w:eastAsia="zh-CN"/>
        </w:rPr>
      </w:pPr>
    </w:p>
    <w:p w14:paraId="7D8F3164">
      <w:pPr>
        <w:rPr>
          <w:rFonts w:hint="eastAsia"/>
          <w:lang w:val="en-US" w:eastAsia="zh-CN"/>
        </w:rPr>
      </w:pPr>
      <w:r>
        <w:rPr>
          <w:rFonts w:hint="eastAsia" w:ascii="宋体" w:hAnsi="宋体" w:eastAsia="宋体" w:cs="宋体"/>
          <w:color w:val="auto"/>
          <w:u w:val="none"/>
          <w:lang w:val="en-US" w:eastAsia="zh-CN"/>
        </w:rPr>
        <w:br w:type="page"/>
      </w:r>
    </w:p>
    <w:p w14:paraId="3F3458E9">
      <w:pPr>
        <w:pStyle w:val="4"/>
        <w:tabs>
          <w:tab w:val="left" w:pos="4576"/>
        </w:tabs>
        <w:adjustRightInd w:val="0"/>
        <w:snapToGrid w:val="0"/>
        <w:spacing w:line="360" w:lineRule="auto"/>
        <w:ind w:left="2665" w:leftChars="1269"/>
        <w:rPr>
          <w:rFonts w:hint="eastAsia" w:ascii="宋体" w:hAnsi="宋体" w:eastAsia="宋体" w:cs="宋体"/>
          <w:color w:val="auto"/>
          <w:sz w:val="32"/>
          <w:szCs w:val="32"/>
          <w:lang w:eastAsia="zh-CN"/>
        </w:rPr>
      </w:pPr>
      <w:bookmarkStart w:id="43" w:name="_Toc26327"/>
      <w:r>
        <w:rPr>
          <w:rFonts w:hint="eastAsia" w:ascii="宋体" w:hAnsi="宋体" w:eastAsia="宋体" w:cs="宋体"/>
          <w:color w:val="auto"/>
          <w:sz w:val="32"/>
          <w:szCs w:val="32"/>
        </w:rPr>
        <w:t>第二章</w:t>
      </w:r>
      <w:r>
        <w:rPr>
          <w:rFonts w:hint="eastAsia" w:ascii="宋体" w:hAnsi="宋体" w:eastAsia="宋体" w:cs="宋体"/>
          <w:color w:val="auto"/>
          <w:sz w:val="32"/>
          <w:szCs w:val="32"/>
          <w:lang w:val="en-US" w:eastAsia="zh-CN"/>
        </w:rPr>
        <w:t xml:space="preserve"> </w:t>
      </w:r>
      <w:r>
        <w:rPr>
          <w:rFonts w:hint="eastAsia" w:ascii="宋体" w:hAnsi="宋体" w:eastAsia="宋体" w:cs="宋体"/>
          <w:color w:val="auto"/>
          <w:sz w:val="32"/>
          <w:szCs w:val="32"/>
        </w:rPr>
        <w:t>供应商须知</w:t>
      </w:r>
      <w:bookmarkEnd w:id="43"/>
      <w:r>
        <w:rPr>
          <w:rFonts w:hint="eastAsia" w:ascii="宋体" w:hAnsi="宋体" w:eastAsia="宋体" w:cs="宋体"/>
          <w:color w:val="auto"/>
          <w:sz w:val="32"/>
          <w:szCs w:val="32"/>
          <w:lang w:eastAsia="zh-CN"/>
        </w:rPr>
        <w:t>及前附表</w:t>
      </w:r>
    </w:p>
    <w:p w14:paraId="520B65CB">
      <w:pPr>
        <w:spacing w:line="360" w:lineRule="auto"/>
        <w:ind w:left="2943" w:firstLine="482" w:firstLineChars="200"/>
        <w:jc w:val="both"/>
        <w:outlineLvl w:val="1"/>
        <w:rPr>
          <w:rFonts w:hint="eastAsia" w:ascii="宋体" w:hAnsi="宋体" w:eastAsia="宋体" w:cs="宋体"/>
          <w:b/>
          <w:color w:val="auto"/>
          <w:sz w:val="21"/>
          <w:szCs w:val="21"/>
        </w:rPr>
      </w:pPr>
      <w:r>
        <w:rPr>
          <w:rFonts w:hint="eastAsia" w:ascii="宋体" w:hAnsi="宋体" w:eastAsia="宋体" w:cs="宋体"/>
          <w:b/>
          <w:color w:val="auto"/>
          <w:sz w:val="24"/>
          <w:szCs w:val="24"/>
        </w:rPr>
        <w:t>一、供应商须知前附表</w:t>
      </w:r>
    </w:p>
    <w:tbl>
      <w:tblPr>
        <w:tblStyle w:val="24"/>
        <w:tblW w:w="85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853"/>
        <w:gridCol w:w="5735"/>
      </w:tblGrid>
      <w:tr w14:paraId="47C56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1003" w:type="dxa"/>
            <w:shd w:val="clear" w:color="auto" w:fill="auto"/>
            <w:vAlign w:val="center"/>
          </w:tcPr>
          <w:p w14:paraId="7DBE7540">
            <w:pPr>
              <w:pStyle w:val="37"/>
              <w:spacing w:before="16" w:line="360" w:lineRule="auto"/>
              <w:ind w:left="118" w:right="111"/>
              <w:jc w:val="center"/>
              <w:rPr>
                <w:rFonts w:hint="eastAsia" w:ascii="宋体" w:hAnsi="宋体" w:eastAsia="宋体" w:cs="宋体"/>
                <w:b/>
                <w:color w:val="auto"/>
                <w:sz w:val="21"/>
                <w:szCs w:val="21"/>
                <w:lang w:eastAsia="en-US"/>
              </w:rPr>
            </w:pPr>
            <w:r>
              <w:rPr>
                <w:rFonts w:hint="eastAsia" w:ascii="宋体" w:hAnsi="宋体" w:eastAsia="宋体" w:cs="宋体"/>
                <w:b/>
                <w:color w:val="auto"/>
                <w:sz w:val="21"/>
                <w:szCs w:val="21"/>
                <w:lang w:eastAsia="en-US"/>
              </w:rPr>
              <w:t>条款号</w:t>
            </w:r>
          </w:p>
        </w:tc>
        <w:tc>
          <w:tcPr>
            <w:tcW w:w="1853" w:type="dxa"/>
            <w:shd w:val="clear" w:color="auto" w:fill="auto"/>
            <w:vAlign w:val="center"/>
          </w:tcPr>
          <w:p w14:paraId="4B55B69E">
            <w:pPr>
              <w:pStyle w:val="37"/>
              <w:spacing w:before="16" w:line="360" w:lineRule="auto"/>
              <w:ind w:left="530"/>
              <w:jc w:val="center"/>
              <w:rPr>
                <w:rFonts w:hint="eastAsia" w:ascii="宋体" w:hAnsi="宋体" w:eastAsia="宋体" w:cs="宋体"/>
                <w:b/>
                <w:color w:val="auto"/>
                <w:sz w:val="21"/>
                <w:szCs w:val="21"/>
                <w:lang w:eastAsia="en-US"/>
              </w:rPr>
            </w:pPr>
            <w:r>
              <w:rPr>
                <w:rFonts w:hint="eastAsia" w:ascii="宋体" w:hAnsi="宋体" w:eastAsia="宋体" w:cs="宋体"/>
                <w:b/>
                <w:color w:val="auto"/>
                <w:sz w:val="21"/>
                <w:szCs w:val="21"/>
                <w:lang w:eastAsia="en-US"/>
              </w:rPr>
              <w:t>条款名称</w:t>
            </w:r>
          </w:p>
        </w:tc>
        <w:tc>
          <w:tcPr>
            <w:tcW w:w="5735" w:type="dxa"/>
            <w:shd w:val="clear" w:color="auto" w:fill="auto"/>
            <w:vAlign w:val="center"/>
          </w:tcPr>
          <w:p w14:paraId="6B25299A">
            <w:pPr>
              <w:pStyle w:val="37"/>
              <w:spacing w:before="16" w:line="360" w:lineRule="auto"/>
              <w:ind w:left="1769"/>
              <w:jc w:val="left"/>
              <w:rPr>
                <w:rFonts w:hint="eastAsia" w:ascii="宋体" w:hAnsi="宋体" w:eastAsia="宋体" w:cs="宋体"/>
                <w:b/>
                <w:color w:val="auto"/>
                <w:sz w:val="21"/>
                <w:szCs w:val="21"/>
                <w:lang w:eastAsia="en-US"/>
              </w:rPr>
            </w:pPr>
            <w:r>
              <w:rPr>
                <w:rFonts w:hint="eastAsia" w:ascii="宋体" w:hAnsi="宋体" w:eastAsia="宋体" w:cs="宋体"/>
                <w:b/>
                <w:color w:val="auto"/>
                <w:sz w:val="21"/>
                <w:szCs w:val="21"/>
                <w:lang w:eastAsia="en-US"/>
              </w:rPr>
              <w:t>内容、说明与要求</w:t>
            </w:r>
          </w:p>
        </w:tc>
      </w:tr>
      <w:tr w14:paraId="61A7C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1003" w:type="dxa"/>
            <w:shd w:val="clear" w:color="auto" w:fill="auto"/>
            <w:vAlign w:val="center"/>
          </w:tcPr>
          <w:p w14:paraId="45A72C44">
            <w:pPr>
              <w:pStyle w:val="37"/>
              <w:spacing w:before="19" w:line="360" w:lineRule="auto"/>
              <w:ind w:left="118" w:right="109"/>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1853" w:type="dxa"/>
            <w:shd w:val="clear" w:color="auto" w:fill="auto"/>
            <w:vAlign w:val="center"/>
          </w:tcPr>
          <w:p w14:paraId="26E2204D">
            <w:pPr>
              <w:pStyle w:val="37"/>
              <w:spacing w:before="19"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采购人</w:t>
            </w:r>
          </w:p>
        </w:tc>
        <w:tc>
          <w:tcPr>
            <w:tcW w:w="5735" w:type="dxa"/>
            <w:shd w:val="clear" w:color="auto" w:fill="auto"/>
            <w:vAlign w:val="center"/>
          </w:tcPr>
          <w:p w14:paraId="0865EC7E">
            <w:pPr>
              <w:pStyle w:val="37"/>
              <w:spacing w:before="19" w:line="360" w:lineRule="auto"/>
              <w:jc w:val="left"/>
              <w:rPr>
                <w:rFonts w:hint="eastAsia" w:ascii="宋体" w:hAnsi="宋体" w:eastAsia="宋体" w:cs="宋体"/>
                <w:color w:val="auto"/>
                <w:sz w:val="21"/>
                <w:szCs w:val="21"/>
                <w:lang w:val="en-US" w:eastAsia="zh-CN"/>
              </w:rPr>
            </w:pPr>
            <w:r>
              <w:rPr>
                <w:rFonts w:hint="eastAsia" w:cs="宋体"/>
                <w:color w:val="auto"/>
                <w:sz w:val="21"/>
                <w:szCs w:val="21"/>
                <w:lang w:val="en-US" w:eastAsia="zh-CN"/>
              </w:rPr>
              <w:t>界首市乐居振兴建设发展有限公司</w:t>
            </w:r>
          </w:p>
        </w:tc>
      </w:tr>
      <w:tr w14:paraId="47A89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jc w:val="center"/>
        </w:trPr>
        <w:tc>
          <w:tcPr>
            <w:tcW w:w="1003" w:type="dxa"/>
            <w:shd w:val="clear" w:color="auto" w:fill="auto"/>
            <w:vAlign w:val="center"/>
          </w:tcPr>
          <w:p w14:paraId="6F6F736F">
            <w:pPr>
              <w:pStyle w:val="37"/>
              <w:spacing w:before="19" w:line="360" w:lineRule="auto"/>
              <w:ind w:left="118" w:right="109"/>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2</w:t>
            </w:r>
          </w:p>
        </w:tc>
        <w:tc>
          <w:tcPr>
            <w:tcW w:w="1853" w:type="dxa"/>
            <w:shd w:val="clear" w:color="auto" w:fill="auto"/>
            <w:vAlign w:val="center"/>
          </w:tcPr>
          <w:p w14:paraId="46E1E23D">
            <w:pPr>
              <w:pStyle w:val="37"/>
              <w:spacing w:before="19"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采购代理机构</w:t>
            </w:r>
          </w:p>
        </w:tc>
        <w:tc>
          <w:tcPr>
            <w:tcW w:w="5735" w:type="dxa"/>
            <w:shd w:val="clear" w:color="auto" w:fill="auto"/>
            <w:vAlign w:val="center"/>
          </w:tcPr>
          <w:p w14:paraId="58263B27">
            <w:pPr>
              <w:pStyle w:val="37"/>
              <w:spacing w:before="19" w:line="360" w:lineRule="auto"/>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安徽巍昂工程管理咨询有限公司</w:t>
            </w:r>
          </w:p>
        </w:tc>
      </w:tr>
      <w:tr w14:paraId="17CB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jc w:val="center"/>
        </w:trPr>
        <w:tc>
          <w:tcPr>
            <w:tcW w:w="1003" w:type="dxa"/>
            <w:shd w:val="clear" w:color="auto" w:fill="auto"/>
            <w:vAlign w:val="center"/>
          </w:tcPr>
          <w:p w14:paraId="3E519D3E">
            <w:pPr>
              <w:pStyle w:val="37"/>
              <w:spacing w:before="1" w:line="360" w:lineRule="auto"/>
              <w:ind w:right="109" w:firstLine="420" w:firstLineChars="200"/>
              <w:jc w:val="both"/>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3</w:t>
            </w:r>
          </w:p>
        </w:tc>
        <w:tc>
          <w:tcPr>
            <w:tcW w:w="1853" w:type="dxa"/>
            <w:shd w:val="clear" w:color="auto" w:fill="auto"/>
            <w:vAlign w:val="center"/>
          </w:tcPr>
          <w:p w14:paraId="302674A6">
            <w:pPr>
              <w:pStyle w:val="37"/>
              <w:spacing w:before="158"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tc>
        <w:tc>
          <w:tcPr>
            <w:tcW w:w="5735" w:type="dxa"/>
            <w:shd w:val="clear" w:color="auto" w:fill="auto"/>
            <w:vAlign w:val="center"/>
          </w:tcPr>
          <w:p w14:paraId="3E4DF9A7">
            <w:pPr>
              <w:spacing w:line="240" w:lineRule="auto"/>
              <w:rPr>
                <w:rFonts w:hint="eastAsia" w:ascii="宋体" w:hAnsi="宋体" w:eastAsia="宋体" w:cs="宋体"/>
                <w:color w:val="auto"/>
                <w:sz w:val="21"/>
                <w:szCs w:val="21"/>
                <w:lang w:val="en-US" w:eastAsia="zh-CN"/>
              </w:rPr>
            </w:pPr>
            <w:r>
              <w:rPr>
                <w:rFonts w:hint="eastAsia" w:ascii="宋体" w:hAnsi="宋体" w:cs="宋体"/>
                <w:color w:val="auto"/>
                <w:kern w:val="0"/>
                <w:sz w:val="21"/>
                <w:szCs w:val="21"/>
                <w:u w:val="none"/>
                <w:lang w:val="zh-CN" w:eastAsia="zh-CN" w:bidi="zh-CN"/>
              </w:rPr>
              <w:t>界首市乐居振兴建设发展有限公司界首市居家社区养老服务网络提升项目设计</w:t>
            </w:r>
          </w:p>
        </w:tc>
      </w:tr>
      <w:tr w14:paraId="603F1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1003" w:type="dxa"/>
            <w:shd w:val="clear" w:color="auto" w:fill="auto"/>
            <w:vAlign w:val="center"/>
          </w:tcPr>
          <w:p w14:paraId="0FA15103">
            <w:pPr>
              <w:pStyle w:val="37"/>
              <w:spacing w:before="1" w:line="360" w:lineRule="auto"/>
              <w:ind w:right="109"/>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4</w:t>
            </w:r>
          </w:p>
        </w:tc>
        <w:tc>
          <w:tcPr>
            <w:tcW w:w="1853" w:type="dxa"/>
            <w:shd w:val="clear" w:color="auto" w:fill="auto"/>
            <w:vAlign w:val="center"/>
          </w:tcPr>
          <w:p w14:paraId="7E95CE67">
            <w:pPr>
              <w:pStyle w:val="37"/>
              <w:spacing w:before="160"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服务地点</w:t>
            </w:r>
          </w:p>
        </w:tc>
        <w:tc>
          <w:tcPr>
            <w:tcW w:w="5735" w:type="dxa"/>
            <w:shd w:val="clear" w:color="auto" w:fill="auto"/>
            <w:vAlign w:val="center"/>
          </w:tcPr>
          <w:p w14:paraId="5D67CBC2">
            <w:pPr>
              <w:pStyle w:val="37"/>
              <w:spacing w:before="1"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指定地点</w:t>
            </w:r>
          </w:p>
        </w:tc>
      </w:tr>
      <w:tr w14:paraId="526A9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003" w:type="dxa"/>
            <w:shd w:val="clear" w:color="auto" w:fill="auto"/>
            <w:vAlign w:val="center"/>
          </w:tcPr>
          <w:p w14:paraId="20974BDB">
            <w:pPr>
              <w:pStyle w:val="37"/>
              <w:spacing w:line="360" w:lineRule="auto"/>
              <w:ind w:right="109"/>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5</w:t>
            </w:r>
          </w:p>
        </w:tc>
        <w:tc>
          <w:tcPr>
            <w:tcW w:w="1853" w:type="dxa"/>
            <w:shd w:val="clear" w:color="auto" w:fill="auto"/>
            <w:vAlign w:val="center"/>
          </w:tcPr>
          <w:p w14:paraId="3EF2B6D8">
            <w:pPr>
              <w:pStyle w:val="37"/>
              <w:spacing w:before="160" w:line="360" w:lineRule="auto"/>
              <w:ind w:left="107" w:firstLine="420"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eastAsia="zh-CN"/>
              </w:rPr>
              <w:t>服务</w:t>
            </w:r>
            <w:r>
              <w:rPr>
                <w:rFonts w:hint="eastAsia" w:ascii="宋体" w:hAnsi="宋体" w:eastAsia="宋体" w:cs="宋体"/>
                <w:color w:val="auto"/>
                <w:sz w:val="21"/>
                <w:szCs w:val="21"/>
              </w:rPr>
              <w:t>期限</w:t>
            </w:r>
          </w:p>
        </w:tc>
        <w:tc>
          <w:tcPr>
            <w:tcW w:w="5735" w:type="dxa"/>
            <w:shd w:val="clear" w:color="auto" w:fill="auto"/>
            <w:vAlign w:val="center"/>
          </w:tcPr>
          <w:p w14:paraId="7F8AC625">
            <w:pPr>
              <w:pStyle w:val="37"/>
              <w:tabs>
                <w:tab w:val="left" w:pos="828"/>
              </w:tabs>
              <w:spacing w:line="360" w:lineRule="auto"/>
              <w:ind w:left="108" w:firstLine="210" w:firstLineChars="100"/>
              <w:jc w:val="left"/>
              <w:rPr>
                <w:rFonts w:hint="eastAsia" w:ascii="宋体" w:hAnsi="宋体" w:eastAsia="宋体" w:cs="宋体"/>
                <w:color w:val="auto"/>
                <w:sz w:val="21"/>
                <w:szCs w:val="21"/>
                <w:lang w:val="en-US" w:eastAsia="en-US"/>
              </w:rPr>
            </w:pPr>
            <w:r>
              <w:rPr>
                <w:rFonts w:hint="eastAsia" w:ascii="宋体" w:hAnsi="宋体" w:eastAsia="宋体" w:cs="宋体"/>
                <w:color w:val="auto"/>
                <w:sz w:val="21"/>
                <w:szCs w:val="21"/>
                <w:lang w:val="en-US" w:eastAsia="zh-CN"/>
              </w:rPr>
              <w:t>90日历天</w:t>
            </w:r>
            <w:r>
              <w:rPr>
                <w:rFonts w:hint="eastAsia" w:ascii="宋体" w:hAnsi="宋体" w:eastAsia="宋体" w:cs="宋体"/>
                <w:color w:val="auto"/>
                <w:sz w:val="21"/>
                <w:szCs w:val="21"/>
                <w:lang w:val="en-US" w:eastAsia="en-US"/>
              </w:rPr>
              <w:t>内向采购人提交施工图设计文件和施工图设计文件审查合格书，具体服务期限以签订合同后至工程缺陷责任期满之日止为准。</w:t>
            </w:r>
          </w:p>
        </w:tc>
      </w:tr>
      <w:tr w14:paraId="340F2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jc w:val="center"/>
        </w:trPr>
        <w:tc>
          <w:tcPr>
            <w:tcW w:w="1003" w:type="dxa"/>
            <w:shd w:val="clear" w:color="auto" w:fill="auto"/>
            <w:vAlign w:val="center"/>
          </w:tcPr>
          <w:p w14:paraId="7C5027CD">
            <w:pPr>
              <w:pStyle w:val="37"/>
              <w:spacing w:line="360" w:lineRule="auto"/>
              <w:ind w:left="118"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1853" w:type="dxa"/>
            <w:shd w:val="clear" w:color="auto" w:fill="auto"/>
            <w:vAlign w:val="center"/>
          </w:tcPr>
          <w:p w14:paraId="4B85935A">
            <w:pPr>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rPr>
              <w:t>采购范围</w:t>
            </w:r>
          </w:p>
        </w:tc>
        <w:tc>
          <w:tcPr>
            <w:tcW w:w="5735" w:type="dxa"/>
            <w:shd w:val="clear" w:color="auto" w:fill="auto"/>
            <w:vAlign w:val="center"/>
          </w:tcPr>
          <w:p w14:paraId="409B3EF4">
            <w:pPr>
              <w:jc w:val="left"/>
              <w:rPr>
                <w:rFonts w:hint="eastAsia" w:ascii="宋体" w:hAnsi="宋体" w:eastAsia="宋体" w:cs="宋体"/>
                <w:b w:val="0"/>
                <w:bCs w:val="0"/>
                <w:color w:val="auto"/>
                <w:sz w:val="21"/>
                <w:szCs w:val="21"/>
                <w:highlight w:val="yellow"/>
                <w:lang w:val="en-US" w:eastAsia="zh-CN"/>
              </w:rPr>
            </w:pPr>
            <w:r>
              <w:rPr>
                <w:rFonts w:hint="eastAsia" w:ascii="宋体" w:hAnsi="宋体" w:eastAsia="宋体" w:cs="宋体"/>
                <w:color w:val="auto"/>
                <w:sz w:val="21"/>
                <w:szCs w:val="21"/>
                <w:highlight w:val="none"/>
              </w:rPr>
              <w:t>竞争性磋商文件范围内所有内容服务</w:t>
            </w:r>
            <w:r>
              <w:rPr>
                <w:rFonts w:hint="eastAsia" w:ascii="宋体" w:hAnsi="宋体" w:eastAsia="宋体" w:cs="宋体"/>
                <w:color w:val="auto"/>
                <w:sz w:val="21"/>
                <w:szCs w:val="21"/>
                <w:highlight w:val="none"/>
                <w:lang w:eastAsia="zh-CN"/>
              </w:rPr>
              <w:t>。</w:t>
            </w:r>
          </w:p>
        </w:tc>
      </w:tr>
      <w:tr w14:paraId="1A2E6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1003" w:type="dxa"/>
            <w:shd w:val="clear" w:color="auto" w:fill="auto"/>
            <w:vAlign w:val="center"/>
          </w:tcPr>
          <w:p w14:paraId="61A32AF0">
            <w:pPr>
              <w:pStyle w:val="37"/>
              <w:spacing w:line="360" w:lineRule="auto"/>
              <w:ind w:left="118"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w:t>
            </w:r>
          </w:p>
        </w:tc>
        <w:tc>
          <w:tcPr>
            <w:tcW w:w="1853" w:type="dxa"/>
            <w:shd w:val="clear" w:color="auto" w:fill="auto"/>
            <w:vAlign w:val="center"/>
          </w:tcPr>
          <w:p w14:paraId="309AC6AE">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资金来源</w:t>
            </w:r>
          </w:p>
        </w:tc>
        <w:tc>
          <w:tcPr>
            <w:tcW w:w="5735" w:type="dxa"/>
            <w:shd w:val="clear" w:color="auto" w:fill="auto"/>
            <w:vAlign w:val="center"/>
          </w:tcPr>
          <w:p w14:paraId="78F9AF36">
            <w:pPr>
              <w:spacing w:line="400" w:lineRule="exact"/>
              <w:ind w:firstLine="105" w:firstLineChars="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自筹资金</w:t>
            </w:r>
          </w:p>
        </w:tc>
      </w:tr>
      <w:tr w14:paraId="7A04C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1003" w:type="dxa"/>
            <w:shd w:val="clear" w:color="auto" w:fill="auto"/>
            <w:vAlign w:val="center"/>
          </w:tcPr>
          <w:p w14:paraId="5A0FF40D">
            <w:pPr>
              <w:pStyle w:val="37"/>
              <w:spacing w:line="360" w:lineRule="auto"/>
              <w:ind w:left="118"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p>
        </w:tc>
        <w:tc>
          <w:tcPr>
            <w:tcW w:w="1853" w:type="dxa"/>
            <w:shd w:val="clear" w:color="auto" w:fill="auto"/>
            <w:vAlign w:val="center"/>
          </w:tcPr>
          <w:p w14:paraId="53A6F45D">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rPr>
              <w:t>不允许偏离的实质性要求和条件</w:t>
            </w:r>
          </w:p>
        </w:tc>
        <w:tc>
          <w:tcPr>
            <w:tcW w:w="5735" w:type="dxa"/>
            <w:shd w:val="clear" w:color="auto" w:fill="auto"/>
            <w:vAlign w:val="center"/>
          </w:tcPr>
          <w:p w14:paraId="097FB557">
            <w:pPr>
              <w:spacing w:line="400" w:lineRule="exact"/>
              <w:ind w:firstLine="105" w:firstLineChars="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详见竞争性磋商文件</w:t>
            </w:r>
          </w:p>
        </w:tc>
      </w:tr>
      <w:tr w14:paraId="7E961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1003" w:type="dxa"/>
            <w:shd w:val="clear" w:color="auto" w:fill="auto"/>
            <w:vAlign w:val="center"/>
          </w:tcPr>
          <w:p w14:paraId="10561E93">
            <w:pPr>
              <w:spacing w:line="500" w:lineRule="atLeast"/>
              <w:ind w:firstLine="420" w:firstLineChars="20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highlight w:val="none"/>
                <w:lang w:val="en-US" w:eastAsia="zh-CN"/>
              </w:rPr>
              <w:t>9</w:t>
            </w:r>
          </w:p>
        </w:tc>
        <w:tc>
          <w:tcPr>
            <w:tcW w:w="1853" w:type="dxa"/>
            <w:shd w:val="clear" w:color="auto" w:fill="auto"/>
            <w:vAlign w:val="center"/>
          </w:tcPr>
          <w:p w14:paraId="4144E07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限价</w:t>
            </w:r>
          </w:p>
        </w:tc>
        <w:tc>
          <w:tcPr>
            <w:tcW w:w="5735" w:type="dxa"/>
            <w:shd w:val="clear" w:color="auto" w:fill="auto"/>
            <w:vAlign w:val="center"/>
          </w:tcPr>
          <w:p w14:paraId="4CB925CF">
            <w:pPr>
              <w:spacing w:line="400" w:lineRule="exact"/>
              <w:jc w:val="both"/>
              <w:textAlignment w:val="baseline"/>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lang w:val="en-US" w:eastAsia="zh-CN"/>
              </w:rPr>
              <w:t>万元。供应商响应报价高于最高响应限价的作无效标处理。</w:t>
            </w:r>
          </w:p>
        </w:tc>
      </w:tr>
      <w:tr w14:paraId="2CFD5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jc w:val="center"/>
        </w:trPr>
        <w:tc>
          <w:tcPr>
            <w:tcW w:w="1003" w:type="dxa"/>
            <w:shd w:val="clear" w:color="auto" w:fill="auto"/>
            <w:vAlign w:val="center"/>
          </w:tcPr>
          <w:p w14:paraId="4ABF943A">
            <w:pPr>
              <w:pStyle w:val="37"/>
              <w:spacing w:line="360" w:lineRule="auto"/>
              <w:ind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1853" w:type="dxa"/>
            <w:shd w:val="clear" w:color="auto" w:fill="auto"/>
            <w:vAlign w:val="center"/>
          </w:tcPr>
          <w:p w14:paraId="52F24F2E">
            <w:pPr>
              <w:pStyle w:val="37"/>
              <w:spacing w:before="2" w:line="360" w:lineRule="auto"/>
              <w:ind w:left="107"/>
              <w:jc w:val="center"/>
              <w:rPr>
                <w:rFonts w:hint="eastAsia" w:ascii="宋体" w:hAnsi="宋体" w:eastAsia="宋体" w:cs="宋体"/>
                <w:color w:val="auto"/>
                <w:sz w:val="21"/>
                <w:szCs w:val="21"/>
              </w:rPr>
            </w:pPr>
            <w:r>
              <w:rPr>
                <w:rFonts w:hint="eastAsia" w:ascii="宋体" w:hAnsi="宋体" w:eastAsia="宋体" w:cs="宋体"/>
                <w:color w:val="auto"/>
                <w:sz w:val="21"/>
                <w:szCs w:val="21"/>
              </w:rPr>
              <w:t>是否允许联合体</w:t>
            </w:r>
          </w:p>
          <w:p w14:paraId="0E2C8F22">
            <w:pPr>
              <w:pStyle w:val="37"/>
              <w:spacing w:before="158" w:line="360" w:lineRule="auto"/>
              <w:ind w:left="107"/>
              <w:jc w:val="center"/>
              <w:rPr>
                <w:rFonts w:hint="eastAsia" w:ascii="宋体" w:hAnsi="宋体" w:eastAsia="宋体" w:cs="宋体"/>
                <w:color w:val="auto"/>
                <w:sz w:val="21"/>
                <w:szCs w:val="21"/>
              </w:rPr>
            </w:pPr>
            <w:r>
              <w:rPr>
                <w:rFonts w:hint="eastAsia" w:ascii="宋体" w:hAnsi="宋体" w:eastAsia="宋体" w:cs="宋体"/>
                <w:color w:val="auto"/>
                <w:sz w:val="21"/>
                <w:szCs w:val="21"/>
              </w:rPr>
              <w:t>参加磋商</w:t>
            </w:r>
          </w:p>
        </w:tc>
        <w:tc>
          <w:tcPr>
            <w:tcW w:w="5735" w:type="dxa"/>
            <w:shd w:val="clear" w:color="auto" w:fill="auto"/>
            <w:vAlign w:val="center"/>
          </w:tcPr>
          <w:p w14:paraId="3C9F6C6F">
            <w:pPr>
              <w:pStyle w:val="37"/>
              <w:tabs>
                <w:tab w:val="left" w:pos="828"/>
              </w:tabs>
              <w:spacing w:line="360" w:lineRule="auto"/>
              <w:ind w:firstLine="420" w:firstLineChars="200"/>
              <w:jc w:val="left"/>
              <w:rPr>
                <w:rFonts w:hint="eastAsia" w:ascii="宋体" w:hAnsi="宋体" w:eastAsia="宋体" w:cs="宋体"/>
                <w:color w:val="auto"/>
                <w:sz w:val="21"/>
                <w:szCs w:val="21"/>
                <w:lang w:val="en-US" w:eastAsia="zh-CN"/>
              </w:rPr>
            </w:pPr>
            <w:r>
              <w:rPr>
                <w:rFonts w:hint="eastAsia" w:cs="宋体"/>
                <w:color w:val="auto"/>
                <w:sz w:val="21"/>
                <w:szCs w:val="21"/>
                <w:lang w:val="en-US" w:eastAsia="zh-CN"/>
              </w:rPr>
              <w:t>否</w:t>
            </w:r>
          </w:p>
        </w:tc>
      </w:tr>
      <w:tr w14:paraId="03546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1003" w:type="dxa"/>
            <w:shd w:val="clear" w:color="auto" w:fill="auto"/>
            <w:vAlign w:val="center"/>
          </w:tcPr>
          <w:p w14:paraId="65A64D14">
            <w:pPr>
              <w:pStyle w:val="37"/>
              <w:spacing w:line="360" w:lineRule="auto"/>
              <w:ind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p>
        </w:tc>
        <w:tc>
          <w:tcPr>
            <w:tcW w:w="1853" w:type="dxa"/>
            <w:shd w:val="clear" w:color="auto" w:fill="auto"/>
            <w:vAlign w:val="center"/>
          </w:tcPr>
          <w:p w14:paraId="3F8F62A4">
            <w:pPr>
              <w:pStyle w:val="37"/>
              <w:spacing w:line="360" w:lineRule="auto"/>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现场考察</w:t>
            </w:r>
          </w:p>
        </w:tc>
        <w:tc>
          <w:tcPr>
            <w:tcW w:w="5735" w:type="dxa"/>
            <w:shd w:val="clear" w:color="auto" w:fill="auto"/>
            <w:vAlign w:val="center"/>
          </w:tcPr>
          <w:p w14:paraId="38ACBCA1">
            <w:pPr>
              <w:pStyle w:val="37"/>
              <w:spacing w:line="360" w:lineRule="auto"/>
              <w:ind w:left="108"/>
              <w:jc w:val="left"/>
              <w:rPr>
                <w:rFonts w:hint="eastAsia" w:ascii="宋体" w:hAnsi="宋体" w:eastAsia="宋体" w:cs="宋体"/>
                <w:b/>
                <w:color w:val="auto"/>
                <w:sz w:val="21"/>
                <w:szCs w:val="21"/>
              </w:rPr>
            </w:pPr>
            <w:r>
              <w:rPr>
                <w:rFonts w:hint="eastAsia" w:ascii="宋体" w:hAnsi="宋体" w:eastAsia="宋体" w:cs="宋体"/>
                <w:color w:val="auto"/>
                <w:sz w:val="21"/>
                <w:szCs w:val="21"/>
              </w:rPr>
              <w:t>不组织，供应商自行考察</w:t>
            </w:r>
          </w:p>
        </w:tc>
      </w:tr>
      <w:tr w14:paraId="6284F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1003" w:type="dxa"/>
            <w:shd w:val="clear" w:color="auto" w:fill="auto"/>
            <w:vAlign w:val="center"/>
          </w:tcPr>
          <w:p w14:paraId="0B2D237B">
            <w:pPr>
              <w:pStyle w:val="37"/>
              <w:spacing w:before="1" w:line="360" w:lineRule="auto"/>
              <w:jc w:val="center"/>
              <w:rPr>
                <w:rFonts w:hint="eastAsia" w:ascii="宋体" w:hAnsi="宋体" w:eastAsia="宋体" w:cs="宋体"/>
                <w:color w:val="auto"/>
                <w:sz w:val="21"/>
                <w:szCs w:val="21"/>
              </w:rPr>
            </w:pPr>
          </w:p>
          <w:p w14:paraId="25326798">
            <w:pPr>
              <w:pStyle w:val="37"/>
              <w:spacing w:before="1" w:line="360" w:lineRule="auto"/>
              <w:ind w:left="118" w:right="10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1853" w:type="dxa"/>
            <w:shd w:val="clear" w:color="auto" w:fill="auto"/>
            <w:vAlign w:val="center"/>
          </w:tcPr>
          <w:p w14:paraId="7D165B2C">
            <w:pPr>
              <w:autoSpaceDE w:val="0"/>
              <w:autoSpaceDN w:val="0"/>
              <w:spacing w:line="360" w:lineRule="auto"/>
              <w:jc w:val="center"/>
              <w:rPr>
                <w:rFonts w:hint="eastAsia" w:ascii="宋体" w:hAnsi="宋体" w:eastAsia="宋体" w:cs="宋体"/>
                <w:color w:val="auto"/>
                <w:kern w:val="0"/>
                <w:sz w:val="21"/>
                <w:szCs w:val="21"/>
                <w:lang w:eastAsia="en-US"/>
              </w:rPr>
            </w:pPr>
            <w:r>
              <w:rPr>
                <w:rFonts w:hint="eastAsia" w:ascii="宋体" w:hAnsi="宋体" w:eastAsia="宋体" w:cs="宋体"/>
                <w:color w:val="auto"/>
                <w:kern w:val="0"/>
                <w:sz w:val="21"/>
                <w:szCs w:val="21"/>
                <w:lang w:eastAsia="en-US"/>
              </w:rPr>
              <w:t>供应商质疑截止时间</w:t>
            </w:r>
          </w:p>
        </w:tc>
        <w:tc>
          <w:tcPr>
            <w:tcW w:w="5735" w:type="dxa"/>
            <w:shd w:val="clear" w:color="auto" w:fill="auto"/>
            <w:vAlign w:val="center"/>
          </w:tcPr>
          <w:p w14:paraId="699512AF">
            <w:pPr>
              <w:autoSpaceDE w:val="0"/>
              <w:autoSpaceDN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1、对采购文件提出质疑的，应当在采购文件公告期限届满之日起</w:t>
            </w:r>
            <w:r>
              <w:rPr>
                <w:rFonts w:hint="eastAsia" w:ascii="宋体" w:hAnsi="宋体" w:eastAsia="宋体" w:cs="宋体"/>
                <w:color w:val="auto"/>
                <w:kern w:val="0"/>
                <w:sz w:val="21"/>
                <w:szCs w:val="21"/>
                <w:lang w:val="en-US" w:eastAsia="zh-CN"/>
              </w:rPr>
              <w:t>2</w:t>
            </w:r>
            <w:r>
              <w:rPr>
                <w:rFonts w:hint="eastAsia" w:ascii="宋体" w:hAnsi="宋体" w:eastAsia="宋体" w:cs="宋体"/>
                <w:color w:val="auto"/>
                <w:kern w:val="0"/>
                <w:sz w:val="21"/>
                <w:szCs w:val="21"/>
              </w:rPr>
              <w:t>日内提出。</w:t>
            </w:r>
          </w:p>
          <w:p w14:paraId="033B1446">
            <w:pPr>
              <w:autoSpaceDE w:val="0"/>
              <w:autoSpaceDN w:val="0"/>
              <w:spacing w:line="360" w:lineRule="auto"/>
              <w:ind w:firstLine="411" w:firstLineChars="196"/>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接受采购文件质疑的电子邮箱：</w:t>
            </w:r>
            <w:r>
              <w:rPr>
                <w:rFonts w:hint="eastAsia" w:ascii="宋体" w:hAnsi="宋体" w:cs="宋体"/>
                <w:color w:val="auto"/>
                <w:kern w:val="0"/>
                <w:sz w:val="21"/>
                <w:szCs w:val="21"/>
                <w:lang w:val="en-US" w:eastAsia="zh-CN"/>
              </w:rPr>
              <w:t>anhuiweiang001@163.</w:t>
            </w:r>
            <w:r>
              <w:rPr>
                <w:rFonts w:hint="eastAsia" w:ascii="宋体" w:hAnsi="宋体" w:eastAsia="宋体" w:cs="宋体"/>
                <w:color w:val="auto"/>
                <w:kern w:val="0"/>
                <w:sz w:val="21"/>
                <w:szCs w:val="21"/>
              </w:rPr>
              <w:t>com ，同时电话至</w:t>
            </w:r>
            <w:r>
              <w:rPr>
                <w:rFonts w:hint="eastAsia" w:ascii="宋体" w:hAnsi="宋体" w:eastAsia="宋体" w:cs="宋体"/>
                <w:color w:val="auto"/>
                <w:kern w:val="0"/>
                <w:sz w:val="21"/>
                <w:szCs w:val="21"/>
                <w:lang w:val="en-US" w:eastAsia="zh-CN"/>
              </w:rPr>
              <w:t>18134669785</w:t>
            </w:r>
          </w:p>
          <w:p w14:paraId="0E00795C">
            <w:pPr>
              <w:widowControl/>
              <w:shd w:val="clear" w:color="auto" w:fill="FFFFFF"/>
              <w:autoSpaceDE w:val="0"/>
              <w:autoSpaceDN w:val="0"/>
              <w:spacing w:line="360" w:lineRule="auto"/>
              <w:ind w:firstLine="411" w:firstLineChars="196"/>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特别提示：提出质疑时须注明项目名称。</w:t>
            </w:r>
          </w:p>
          <w:p w14:paraId="17A128FC">
            <w:pPr>
              <w:autoSpaceDE w:val="0"/>
              <w:autoSpaceDN w:val="0"/>
              <w:spacing w:line="360" w:lineRule="auto"/>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询问答复及澄清或修改：在</w:t>
            </w:r>
            <w:r>
              <w:rPr>
                <w:rFonts w:hint="eastAsia" w:ascii="宋体" w:hAnsi="宋体" w:cs="宋体"/>
                <w:color w:val="auto"/>
                <w:kern w:val="0"/>
                <w:sz w:val="21"/>
                <w:szCs w:val="21"/>
                <w:highlight w:val="none"/>
                <w:lang w:val="en-US" w:eastAsia="zh-CN"/>
              </w:rPr>
              <w:t>界首市城乡建设发展集团有限公司</w:t>
            </w:r>
            <w:r>
              <w:rPr>
                <w:rFonts w:hint="eastAsia" w:ascii="宋体" w:hAnsi="宋体" w:eastAsia="宋体" w:cs="宋体"/>
                <w:color w:val="auto"/>
                <w:kern w:val="0"/>
                <w:sz w:val="21"/>
                <w:szCs w:val="21"/>
                <w:highlight w:val="none"/>
                <w:lang w:val="en-US" w:eastAsia="zh-CN"/>
              </w:rPr>
              <w:t>http://www.jscxjs.cn/网站上</w:t>
            </w:r>
            <w:r>
              <w:rPr>
                <w:rFonts w:hint="eastAsia" w:ascii="宋体" w:hAnsi="宋体" w:eastAsia="宋体" w:cs="宋体"/>
                <w:color w:val="auto"/>
                <w:kern w:val="0"/>
                <w:sz w:val="21"/>
                <w:szCs w:val="21"/>
                <w:highlight w:val="none"/>
              </w:rPr>
              <w:t>发布</w:t>
            </w:r>
            <w:r>
              <w:rPr>
                <w:rFonts w:hint="eastAsia" w:ascii="宋体" w:hAnsi="宋体" w:eastAsia="宋体" w:cs="宋体"/>
                <w:color w:val="auto"/>
                <w:kern w:val="0"/>
                <w:sz w:val="21"/>
                <w:szCs w:val="21"/>
              </w:rPr>
              <w:t>，采购人不再另行通知。</w:t>
            </w:r>
          </w:p>
          <w:p w14:paraId="32B706E6">
            <w:pPr>
              <w:autoSpaceDE w:val="0"/>
              <w:autoSpaceDN w:val="0"/>
              <w:spacing w:line="360" w:lineRule="auto"/>
              <w:jc w:val="left"/>
              <w:rPr>
                <w:rFonts w:hint="eastAsia" w:ascii="宋体" w:hAnsi="宋体" w:eastAsia="宋体" w:cs="宋体"/>
                <w:color w:val="auto"/>
                <w:sz w:val="21"/>
                <w:szCs w:val="21"/>
              </w:rPr>
            </w:pPr>
            <w:r>
              <w:rPr>
                <w:rFonts w:hint="eastAsia" w:ascii="宋体" w:hAnsi="宋体" w:eastAsia="宋体" w:cs="宋体"/>
                <w:color w:val="auto"/>
                <w:kern w:val="0"/>
                <w:sz w:val="21"/>
                <w:szCs w:val="21"/>
                <w:lang w:eastAsia="en-US"/>
              </w:rPr>
              <w:t>该答复内容及澄清或修改内容为采购文件的组成部分，对供应商具有同样约束</w:t>
            </w:r>
            <w:r>
              <w:rPr>
                <w:rFonts w:hint="eastAsia" w:ascii="宋体" w:hAnsi="宋体" w:eastAsia="宋体" w:cs="宋体"/>
                <w:color w:val="auto"/>
                <w:kern w:val="0"/>
                <w:sz w:val="21"/>
                <w:szCs w:val="21"/>
                <w:highlight w:val="none"/>
                <w:lang w:eastAsia="en-US"/>
              </w:rPr>
              <w:t>力效力。</w:t>
            </w:r>
            <w:r>
              <w:rPr>
                <w:rFonts w:hint="eastAsia" w:ascii="宋体" w:hAnsi="宋体" w:eastAsia="宋体" w:cs="宋体"/>
                <w:color w:val="auto"/>
                <w:kern w:val="0"/>
                <w:sz w:val="21"/>
                <w:szCs w:val="21"/>
                <w:highlight w:val="none"/>
              </w:rPr>
              <w:t>（所有潜在供应商在响应文件提交截止时间前有义务在</w:t>
            </w:r>
            <w:r>
              <w:rPr>
                <w:rFonts w:hint="eastAsia" w:ascii="宋体" w:hAnsi="宋体" w:cs="宋体"/>
                <w:color w:val="auto"/>
                <w:kern w:val="0"/>
                <w:sz w:val="21"/>
                <w:szCs w:val="21"/>
                <w:highlight w:val="none"/>
                <w:lang w:val="en-US" w:eastAsia="zh-CN"/>
              </w:rPr>
              <w:t>界首市城乡建设发展集团有限公司</w:t>
            </w:r>
            <w:r>
              <w:rPr>
                <w:rFonts w:hint="eastAsia" w:ascii="宋体" w:hAnsi="宋体" w:eastAsia="宋体" w:cs="宋体"/>
                <w:color w:val="auto"/>
                <w:kern w:val="0"/>
                <w:sz w:val="21"/>
                <w:szCs w:val="21"/>
                <w:highlight w:val="none"/>
                <w:lang w:val="en-US" w:eastAsia="zh-CN"/>
              </w:rPr>
              <w:t>http://www.jscxjs.cn/网站</w:t>
            </w:r>
            <w:r>
              <w:rPr>
                <w:rFonts w:hint="eastAsia" w:ascii="宋体" w:hAnsi="宋体" w:eastAsia="宋体" w:cs="宋体"/>
                <w:color w:val="auto"/>
                <w:kern w:val="0"/>
                <w:sz w:val="21"/>
                <w:szCs w:val="21"/>
                <w:highlight w:val="none"/>
              </w:rPr>
              <w:t>上自</w:t>
            </w:r>
            <w:r>
              <w:rPr>
                <w:rFonts w:hint="eastAsia" w:ascii="宋体" w:hAnsi="宋体" w:eastAsia="宋体" w:cs="宋体"/>
                <w:color w:val="auto"/>
                <w:kern w:val="0"/>
                <w:sz w:val="21"/>
                <w:szCs w:val="21"/>
              </w:rPr>
              <w:t>行查询，澄清、修改及答疑回复视为全部知晓，无需回复确认。）</w:t>
            </w:r>
          </w:p>
        </w:tc>
      </w:tr>
      <w:tr w14:paraId="5D30E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10" w:hRule="atLeast"/>
          <w:jc w:val="center"/>
        </w:trPr>
        <w:tc>
          <w:tcPr>
            <w:tcW w:w="1003" w:type="dxa"/>
            <w:shd w:val="clear" w:color="auto" w:fill="auto"/>
            <w:vAlign w:val="center"/>
          </w:tcPr>
          <w:p w14:paraId="10A7B955">
            <w:pPr>
              <w:autoSpaceDE w:val="0"/>
              <w:autoSpaceDN w:val="0"/>
              <w:spacing w:line="36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13</w:t>
            </w:r>
          </w:p>
        </w:tc>
        <w:tc>
          <w:tcPr>
            <w:tcW w:w="1853" w:type="dxa"/>
            <w:shd w:val="clear" w:color="auto" w:fill="auto"/>
            <w:vAlign w:val="center"/>
          </w:tcPr>
          <w:p w14:paraId="748F4091">
            <w:pPr>
              <w:pStyle w:val="37"/>
              <w:spacing w:line="360" w:lineRule="auto"/>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磋商保证金</w:t>
            </w:r>
          </w:p>
        </w:tc>
        <w:tc>
          <w:tcPr>
            <w:tcW w:w="5735" w:type="dxa"/>
            <w:shd w:val="clear" w:color="auto" w:fill="auto"/>
            <w:vAlign w:val="center"/>
          </w:tcPr>
          <w:p w14:paraId="66D7E90E">
            <w:pPr>
              <w:spacing w:line="420" w:lineRule="exact"/>
              <w:jc w:val="left"/>
              <w:rPr>
                <w:rFonts w:hint="eastAsia" w:ascii="宋体" w:hAnsi="宋体" w:eastAsia="宋体" w:cs="宋体"/>
                <w:color w:val="auto"/>
                <w:sz w:val="21"/>
                <w:szCs w:val="21"/>
                <w:lang w:eastAsia="zh-CN"/>
              </w:rPr>
            </w:pPr>
            <w:r>
              <w:rPr>
                <w:rFonts w:hint="eastAsia" w:ascii="宋体" w:hAnsi="宋体" w:eastAsia="宋体" w:cs="宋体"/>
                <w:b/>
                <w:bCs/>
                <w:color w:val="auto"/>
                <w:sz w:val="21"/>
                <w:szCs w:val="21"/>
                <w:highlight w:val="none"/>
                <w:lang w:eastAsia="zh-CN"/>
              </w:rPr>
              <w:t>免收</w:t>
            </w:r>
            <w:r>
              <w:rPr>
                <w:rFonts w:hint="eastAsia" w:ascii="宋体" w:hAnsi="宋体" w:eastAsia="宋体" w:cs="宋体"/>
                <w:b/>
                <w:bCs/>
                <w:color w:val="auto"/>
                <w:sz w:val="21"/>
                <w:szCs w:val="21"/>
                <w:highlight w:val="none"/>
              </w:rPr>
              <w:t xml:space="preserve"> </w:t>
            </w:r>
            <w:r>
              <w:rPr>
                <w:rFonts w:hint="eastAsia" w:ascii="宋体" w:hAnsi="宋体" w:eastAsia="宋体" w:cs="宋体"/>
                <w:color w:val="auto"/>
                <w:sz w:val="24"/>
                <w:szCs w:val="22"/>
                <w:highlight w:val="none"/>
              </w:rPr>
              <w:t xml:space="preserve"> </w:t>
            </w:r>
          </w:p>
        </w:tc>
      </w:tr>
      <w:tr w14:paraId="73D0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1" w:hRule="atLeast"/>
          <w:jc w:val="center"/>
        </w:trPr>
        <w:tc>
          <w:tcPr>
            <w:tcW w:w="1003" w:type="dxa"/>
            <w:shd w:val="clear" w:color="auto" w:fill="auto"/>
            <w:vAlign w:val="center"/>
          </w:tcPr>
          <w:p w14:paraId="546CBB01">
            <w:pPr>
              <w:pStyle w:val="37"/>
              <w:spacing w:before="19"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14</w:t>
            </w:r>
          </w:p>
        </w:tc>
        <w:tc>
          <w:tcPr>
            <w:tcW w:w="1853" w:type="dxa"/>
            <w:shd w:val="clear" w:color="auto" w:fill="auto"/>
            <w:vAlign w:val="center"/>
          </w:tcPr>
          <w:p w14:paraId="41500421">
            <w:pPr>
              <w:pStyle w:val="37"/>
              <w:spacing w:before="19"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磋商有效期</w:t>
            </w:r>
          </w:p>
        </w:tc>
        <w:tc>
          <w:tcPr>
            <w:tcW w:w="5735" w:type="dxa"/>
            <w:shd w:val="clear" w:color="auto" w:fill="auto"/>
            <w:vAlign w:val="center"/>
          </w:tcPr>
          <w:p w14:paraId="262C6D84">
            <w:pPr>
              <w:pStyle w:val="37"/>
              <w:tabs>
                <w:tab w:val="left" w:pos="828"/>
              </w:tabs>
              <w:spacing w:before="19" w:line="360" w:lineRule="auto"/>
              <w:ind w:left="108"/>
              <w:jc w:val="left"/>
              <w:rPr>
                <w:rFonts w:hint="eastAsia" w:ascii="宋体" w:hAnsi="宋体" w:eastAsia="宋体" w:cs="宋体"/>
                <w:color w:val="auto"/>
                <w:sz w:val="21"/>
                <w:szCs w:val="21"/>
                <w:lang w:eastAsia="en-US"/>
              </w:rPr>
            </w:pPr>
            <w:r>
              <w:rPr>
                <w:rFonts w:hint="eastAsia" w:ascii="宋体" w:hAnsi="宋体" w:eastAsia="宋体" w:cs="宋体"/>
                <w:b/>
                <w:bCs/>
                <w:color w:val="auto"/>
                <w:kern w:val="2"/>
                <w:sz w:val="21"/>
                <w:szCs w:val="21"/>
                <w:highlight w:val="none"/>
                <w:lang w:val="zh-CN" w:eastAsia="zh-CN" w:bidi="ar-SA"/>
              </w:rPr>
              <w:t>自响应截止之日起</w:t>
            </w:r>
            <w:r>
              <w:rPr>
                <w:rFonts w:hint="eastAsia" w:ascii="宋体" w:hAnsi="宋体" w:eastAsia="宋体" w:cs="宋体"/>
                <w:b/>
                <w:bCs/>
                <w:color w:val="auto"/>
                <w:kern w:val="2"/>
                <w:sz w:val="21"/>
                <w:szCs w:val="21"/>
                <w:highlight w:val="none"/>
                <w:lang w:val="en-US" w:eastAsia="zh-CN" w:bidi="ar-SA"/>
              </w:rPr>
              <w:t>9</w:t>
            </w:r>
            <w:r>
              <w:rPr>
                <w:rFonts w:hint="eastAsia" w:ascii="宋体" w:hAnsi="宋体" w:eastAsia="宋体" w:cs="宋体"/>
                <w:b/>
                <w:bCs/>
                <w:color w:val="auto"/>
                <w:kern w:val="2"/>
                <w:sz w:val="21"/>
                <w:szCs w:val="21"/>
                <w:highlight w:val="none"/>
                <w:lang w:val="zh-CN" w:eastAsia="zh-CN" w:bidi="ar-SA"/>
              </w:rPr>
              <w:t>0日历天</w:t>
            </w:r>
          </w:p>
        </w:tc>
      </w:tr>
      <w:tr w14:paraId="508E9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445" w:hRule="atLeast"/>
          <w:jc w:val="center"/>
        </w:trPr>
        <w:tc>
          <w:tcPr>
            <w:tcW w:w="1003" w:type="dxa"/>
            <w:shd w:val="clear" w:color="auto" w:fill="auto"/>
            <w:vAlign w:val="center"/>
          </w:tcPr>
          <w:p w14:paraId="6DBBFF67">
            <w:pPr>
              <w:pStyle w:val="37"/>
              <w:spacing w:before="16"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15</w:t>
            </w:r>
          </w:p>
        </w:tc>
        <w:tc>
          <w:tcPr>
            <w:tcW w:w="1853" w:type="dxa"/>
            <w:shd w:val="clear" w:color="auto" w:fill="auto"/>
            <w:vAlign w:val="center"/>
          </w:tcPr>
          <w:p w14:paraId="1CD1D83E">
            <w:pPr>
              <w:pStyle w:val="37"/>
              <w:spacing w:before="16"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响应文件要求</w:t>
            </w:r>
          </w:p>
        </w:tc>
        <w:tc>
          <w:tcPr>
            <w:tcW w:w="5735" w:type="dxa"/>
            <w:shd w:val="clear" w:color="auto" w:fill="auto"/>
            <w:vAlign w:val="center"/>
          </w:tcPr>
          <w:p w14:paraId="3A500D3A">
            <w:pPr>
              <w:pStyle w:val="43"/>
              <w:numPr>
                <w:ilvl w:val="0"/>
                <w:numId w:val="1"/>
              </w:numPr>
              <w:spacing w:line="300" w:lineRule="auto"/>
              <w:jc w:val="left"/>
              <w:rPr>
                <w:rFonts w:hint="eastAsia" w:ascii="宋体" w:hAnsi="宋体" w:eastAsia="宋体" w:cs="宋体"/>
                <w:b/>
                <w:bCs/>
                <w:color w:val="auto"/>
                <w:spacing w:val="-8"/>
                <w:kern w:val="2"/>
                <w:sz w:val="21"/>
                <w:szCs w:val="21"/>
                <w:highlight w:val="none"/>
              </w:rPr>
            </w:pPr>
            <w:r>
              <w:rPr>
                <w:rFonts w:hint="eastAsia" w:ascii="宋体" w:hAnsi="宋体" w:eastAsia="宋体" w:cs="宋体"/>
                <w:b/>
                <w:bCs/>
                <w:color w:val="auto"/>
                <w:spacing w:val="-8"/>
                <w:kern w:val="2"/>
                <w:sz w:val="21"/>
                <w:szCs w:val="21"/>
                <w:highlight w:val="none"/>
              </w:rPr>
              <w:t>正本1份；副本2份。</w:t>
            </w:r>
          </w:p>
          <w:p w14:paraId="1E1E5A81">
            <w:pPr>
              <w:pStyle w:val="43"/>
              <w:numPr>
                <w:ilvl w:val="0"/>
                <w:numId w:val="0"/>
              </w:numPr>
              <w:spacing w:line="300" w:lineRule="auto"/>
              <w:ind w:leftChars="0"/>
              <w:jc w:val="left"/>
              <w:rPr>
                <w:rFonts w:hint="eastAsia" w:ascii="宋体" w:hAnsi="宋体" w:eastAsia="宋体" w:cs="宋体"/>
                <w:b/>
                <w:bCs/>
                <w:color w:val="auto"/>
                <w:spacing w:val="-8"/>
                <w:kern w:val="2"/>
                <w:sz w:val="21"/>
                <w:szCs w:val="21"/>
                <w:highlight w:val="none"/>
              </w:rPr>
            </w:pPr>
            <w:r>
              <w:rPr>
                <w:rFonts w:hint="eastAsia" w:ascii="宋体" w:hAnsi="宋体" w:eastAsia="宋体" w:cs="宋体"/>
                <w:b/>
                <w:bCs/>
                <w:color w:val="auto"/>
                <w:spacing w:val="-8"/>
                <w:kern w:val="2"/>
                <w:sz w:val="21"/>
                <w:szCs w:val="21"/>
                <w:highlight w:val="none"/>
              </w:rPr>
              <w:t>集中或分开密封包装均可。投标文件密封袋“封口处”应密封，并加盖供应商公章。响应文件一律胶装，未胶装的，作无效标处理。</w:t>
            </w:r>
          </w:p>
          <w:p w14:paraId="1F9772C0">
            <w:pPr>
              <w:pStyle w:val="43"/>
              <w:keepNext w:val="0"/>
              <w:keepLines w:val="0"/>
              <w:pageBreakBefore w:val="0"/>
              <w:widowControl w:val="0"/>
              <w:kinsoku/>
              <w:wordWrap/>
              <w:overflowPunct/>
              <w:topLinePunct w:val="0"/>
              <w:autoSpaceDE w:val="0"/>
              <w:autoSpaceDN w:val="0"/>
              <w:bidi w:val="0"/>
              <w:adjustRightInd w:val="0"/>
              <w:snapToGrid/>
              <w:spacing w:line="300" w:lineRule="auto"/>
              <w:ind w:left="0" w:firstLine="0"/>
              <w:jc w:val="both"/>
              <w:textAlignment w:val="auto"/>
              <w:rPr>
                <w:rFonts w:hint="eastAsia" w:ascii="宋体" w:hAnsi="宋体" w:eastAsia="宋体" w:cs="宋体"/>
                <w:b/>
                <w:bCs/>
                <w:color w:val="auto"/>
                <w:spacing w:val="-8"/>
                <w:kern w:val="2"/>
                <w:sz w:val="21"/>
                <w:szCs w:val="21"/>
                <w:highlight w:val="none"/>
              </w:rPr>
            </w:pPr>
            <w:r>
              <w:rPr>
                <w:rFonts w:hint="eastAsia" w:ascii="宋体" w:hAnsi="宋体" w:eastAsia="宋体" w:cs="宋体"/>
                <w:b/>
                <w:bCs/>
                <w:color w:val="auto"/>
                <w:spacing w:val="-8"/>
                <w:kern w:val="2"/>
                <w:sz w:val="21"/>
                <w:szCs w:val="21"/>
                <w:highlight w:val="none"/>
              </w:rPr>
              <w:t>2、电子版响应文件（U盘）一份。其电子版文件须为签字盖章后纸质版响应文件的完整扫描件。</w:t>
            </w:r>
          </w:p>
          <w:p w14:paraId="0A8DC40C">
            <w:pPr>
              <w:pStyle w:val="37"/>
              <w:spacing w:before="16" w:line="360" w:lineRule="auto"/>
              <w:ind w:left="108"/>
              <w:jc w:val="left"/>
              <w:rPr>
                <w:rFonts w:hint="eastAsia" w:ascii="宋体" w:hAnsi="宋体" w:eastAsia="宋体" w:cs="宋体"/>
                <w:color w:val="auto"/>
                <w:sz w:val="21"/>
                <w:szCs w:val="21"/>
                <w:lang w:eastAsia="en-US"/>
              </w:rPr>
            </w:pPr>
            <w:r>
              <w:rPr>
                <w:rFonts w:hint="eastAsia" w:ascii="宋体" w:hAnsi="宋体" w:eastAsia="宋体" w:cs="宋体"/>
                <w:b/>
                <w:bCs/>
                <w:color w:val="auto"/>
                <w:spacing w:val="-8"/>
                <w:kern w:val="2"/>
                <w:sz w:val="21"/>
                <w:szCs w:val="21"/>
                <w:highlight w:val="none"/>
              </w:rPr>
              <w:t>注：响应文件电子版密封方式：以上电子U盘单独放入一个密封袋中，加贴封条，并在封套封口处加盖供应商单位章，在封套上标记“响应文件电子版”字样。递交响应文件时无电子版文件，采购人将拒绝接收其响应文件。</w:t>
            </w:r>
          </w:p>
        </w:tc>
      </w:tr>
      <w:tr w14:paraId="0C2BA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jc w:val="center"/>
        </w:trPr>
        <w:tc>
          <w:tcPr>
            <w:tcW w:w="1003" w:type="dxa"/>
            <w:shd w:val="clear" w:color="auto" w:fill="auto"/>
            <w:vAlign w:val="center"/>
          </w:tcPr>
          <w:p w14:paraId="6B201AFA">
            <w:pPr>
              <w:pStyle w:val="37"/>
              <w:spacing w:before="5" w:line="360" w:lineRule="auto"/>
              <w:jc w:val="center"/>
              <w:rPr>
                <w:rFonts w:hint="eastAsia" w:ascii="宋体" w:hAnsi="宋体" w:eastAsia="宋体" w:cs="宋体"/>
                <w:color w:val="auto"/>
                <w:sz w:val="21"/>
                <w:szCs w:val="21"/>
              </w:rPr>
            </w:pPr>
          </w:p>
          <w:p w14:paraId="60D5F1A4">
            <w:pPr>
              <w:pStyle w:val="37"/>
              <w:spacing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16</w:t>
            </w:r>
          </w:p>
        </w:tc>
        <w:tc>
          <w:tcPr>
            <w:tcW w:w="1853" w:type="dxa"/>
            <w:shd w:val="clear" w:color="auto" w:fill="auto"/>
            <w:vAlign w:val="center"/>
          </w:tcPr>
          <w:p w14:paraId="732332F2">
            <w:pPr>
              <w:jc w:val="center"/>
              <w:rPr>
                <w:rFonts w:hint="eastAsia" w:ascii="宋体" w:hAnsi="宋体" w:eastAsia="宋体" w:cs="宋体"/>
                <w:color w:val="auto"/>
                <w:sz w:val="21"/>
                <w:szCs w:val="21"/>
              </w:rPr>
            </w:pPr>
            <w:r>
              <w:rPr>
                <w:rFonts w:hint="eastAsia" w:ascii="宋体" w:hAnsi="宋体" w:eastAsia="宋体" w:cs="宋体"/>
                <w:color w:val="auto"/>
                <w:sz w:val="21"/>
                <w:szCs w:val="21"/>
                <w:highlight w:val="none"/>
              </w:rPr>
              <w:t>密封要求和封套上写明</w:t>
            </w:r>
          </w:p>
        </w:tc>
        <w:tc>
          <w:tcPr>
            <w:tcW w:w="5735" w:type="dxa"/>
            <w:shd w:val="clear" w:color="auto" w:fill="auto"/>
            <w:vAlign w:val="center"/>
          </w:tcPr>
          <w:p w14:paraId="47544A02">
            <w:pPr>
              <w:spacing w:line="50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供应商应将响应文件密封装订，同时在密封袋上标明采购人名称，项目名称及供应商名称，密封袋封口处应密封，加盖响应单位公章</w:t>
            </w:r>
          </w:p>
          <w:p w14:paraId="02E66F9F">
            <w:pPr>
              <w:spacing w:line="500" w:lineRule="atLeas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采购人名称：</w:t>
            </w:r>
          </w:p>
          <w:p w14:paraId="3C34C8E8">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XXX(项目名称)响应文件</w:t>
            </w:r>
          </w:p>
          <w:p w14:paraId="751E590F">
            <w:pPr>
              <w:spacing w:line="4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（盖响应单位公章）</w:t>
            </w:r>
          </w:p>
          <w:p w14:paraId="58F1EEEE">
            <w:pPr>
              <w:spacing w:line="44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响应单位地址：</w:t>
            </w:r>
            <w:r>
              <w:rPr>
                <w:rFonts w:hint="eastAsia" w:ascii="宋体" w:hAnsi="宋体" w:eastAsia="宋体" w:cs="宋体"/>
                <w:color w:val="auto"/>
                <w:sz w:val="21"/>
                <w:szCs w:val="21"/>
                <w:highlight w:val="none"/>
                <w:u w:val="single"/>
              </w:rPr>
              <w:t xml:space="preserve">                        </w:t>
            </w:r>
          </w:p>
          <w:p w14:paraId="0843CB01">
            <w:pPr>
              <w:spacing w:line="500" w:lineRule="atLeast"/>
              <w:rPr>
                <w:rFonts w:hint="eastAsia" w:ascii="宋体" w:hAnsi="宋体" w:eastAsia="宋体" w:cs="宋体"/>
                <w:color w:val="auto"/>
                <w:sz w:val="21"/>
                <w:szCs w:val="21"/>
                <w:lang w:eastAsia="en-US"/>
              </w:rPr>
            </w:pP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分前不得开启</w:t>
            </w:r>
          </w:p>
        </w:tc>
      </w:tr>
      <w:tr w14:paraId="71AE8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2" w:hRule="atLeast"/>
          <w:jc w:val="center"/>
        </w:trPr>
        <w:tc>
          <w:tcPr>
            <w:tcW w:w="1003" w:type="dxa"/>
            <w:shd w:val="clear" w:color="auto" w:fill="auto"/>
            <w:vAlign w:val="center"/>
          </w:tcPr>
          <w:p w14:paraId="2D7FEF1D">
            <w:pPr>
              <w:pStyle w:val="37"/>
              <w:spacing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17</w:t>
            </w:r>
          </w:p>
        </w:tc>
        <w:tc>
          <w:tcPr>
            <w:tcW w:w="1853" w:type="dxa"/>
            <w:shd w:val="clear" w:color="auto" w:fill="auto"/>
            <w:vAlign w:val="center"/>
          </w:tcPr>
          <w:p w14:paraId="7B019931">
            <w:pPr>
              <w:pStyle w:val="37"/>
              <w:spacing w:before="161"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响应文件递交地点</w:t>
            </w:r>
          </w:p>
        </w:tc>
        <w:tc>
          <w:tcPr>
            <w:tcW w:w="5735" w:type="dxa"/>
            <w:shd w:val="clear" w:color="auto" w:fill="auto"/>
            <w:vAlign w:val="center"/>
          </w:tcPr>
          <w:p w14:paraId="69115CCA">
            <w:pPr>
              <w:pStyle w:val="37"/>
              <w:spacing w:before="161"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en-US" w:bidi="ar-SA"/>
              </w:rPr>
              <w:t>磋商地点：</w:t>
            </w:r>
            <w:r>
              <w:rPr>
                <w:rFonts w:hint="eastAsia" w:cs="宋体"/>
                <w:color w:val="auto"/>
                <w:kern w:val="2"/>
                <w:sz w:val="21"/>
                <w:szCs w:val="21"/>
                <w:highlight w:val="none"/>
                <w:u w:val="single"/>
                <w:lang w:val="en-US" w:eastAsia="zh-CN" w:bidi="ar-SA"/>
              </w:rPr>
              <w:t>界首市乐居振兴建设发展有限公司会议室</w:t>
            </w:r>
          </w:p>
        </w:tc>
      </w:tr>
      <w:tr w14:paraId="51E0C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40" w:hRule="atLeast"/>
          <w:jc w:val="center"/>
        </w:trPr>
        <w:tc>
          <w:tcPr>
            <w:tcW w:w="1003" w:type="dxa"/>
            <w:vMerge w:val="restart"/>
            <w:shd w:val="clear" w:color="auto" w:fill="auto"/>
            <w:vAlign w:val="center"/>
          </w:tcPr>
          <w:p w14:paraId="657BB748">
            <w:pPr>
              <w:pStyle w:val="37"/>
              <w:spacing w:before="1" w:line="360" w:lineRule="auto"/>
              <w:ind w:firstLine="210" w:firstLineChars="100"/>
              <w:jc w:val="both"/>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18</w:t>
            </w:r>
          </w:p>
        </w:tc>
        <w:tc>
          <w:tcPr>
            <w:tcW w:w="1853" w:type="dxa"/>
            <w:shd w:val="clear" w:color="auto" w:fill="auto"/>
            <w:vAlign w:val="center"/>
          </w:tcPr>
          <w:p w14:paraId="3439B8F0">
            <w:pPr>
              <w:pStyle w:val="37"/>
              <w:spacing w:before="16"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磋商时间</w:t>
            </w:r>
          </w:p>
        </w:tc>
        <w:tc>
          <w:tcPr>
            <w:tcW w:w="5735" w:type="dxa"/>
            <w:shd w:val="clear" w:color="auto" w:fill="auto"/>
            <w:vAlign w:val="center"/>
          </w:tcPr>
          <w:p w14:paraId="4CE6F965">
            <w:pPr>
              <w:pStyle w:val="37"/>
              <w:spacing w:before="16" w:line="360" w:lineRule="auto"/>
              <w:ind w:left="108"/>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磋商时间：</w:t>
            </w:r>
            <w:r>
              <w:rPr>
                <w:rFonts w:hint="eastAsia" w:cs="宋体"/>
                <w:color w:val="auto"/>
                <w:kern w:val="2"/>
                <w:sz w:val="21"/>
                <w:szCs w:val="21"/>
                <w:highlight w:val="none"/>
                <w:u w:val="single"/>
                <w:lang w:val="en-US" w:eastAsia="zh-CN" w:bidi="ar-SA"/>
              </w:rPr>
              <w:t>2026</w:t>
            </w:r>
            <w:r>
              <w:rPr>
                <w:rFonts w:hint="eastAsia" w:ascii="宋体" w:hAnsi="宋体" w:eastAsia="宋体" w:cs="宋体"/>
                <w:color w:val="auto"/>
                <w:kern w:val="2"/>
                <w:sz w:val="21"/>
                <w:szCs w:val="21"/>
                <w:highlight w:val="none"/>
                <w:u w:val="single"/>
                <w:lang w:val="en-US" w:eastAsia="en-US" w:bidi="ar-SA"/>
              </w:rPr>
              <w:t>年</w:t>
            </w:r>
            <w:r>
              <w:rPr>
                <w:rFonts w:hint="eastAsia" w:cs="宋体"/>
                <w:color w:val="auto"/>
                <w:kern w:val="2"/>
                <w:sz w:val="21"/>
                <w:szCs w:val="21"/>
                <w:highlight w:val="none"/>
                <w:u w:val="single"/>
                <w:lang w:val="en-US" w:eastAsia="zh-CN" w:bidi="ar-SA"/>
              </w:rPr>
              <w:t>7</w:t>
            </w:r>
            <w:r>
              <w:rPr>
                <w:rFonts w:hint="eastAsia" w:ascii="宋体" w:hAnsi="宋体" w:eastAsia="宋体" w:cs="宋体"/>
                <w:color w:val="auto"/>
                <w:kern w:val="2"/>
                <w:sz w:val="21"/>
                <w:szCs w:val="21"/>
                <w:highlight w:val="none"/>
                <w:u w:val="single"/>
                <w:lang w:val="en-US" w:eastAsia="en-US" w:bidi="ar-SA"/>
              </w:rPr>
              <w:t>月</w:t>
            </w:r>
            <w:r>
              <w:rPr>
                <w:rFonts w:hint="eastAsia" w:cs="宋体"/>
                <w:color w:val="auto"/>
                <w:kern w:val="2"/>
                <w:sz w:val="21"/>
                <w:szCs w:val="21"/>
                <w:highlight w:val="none"/>
                <w:u w:val="single"/>
                <w:lang w:val="en-US" w:eastAsia="zh-CN" w:bidi="ar-SA"/>
              </w:rPr>
              <w:t xml:space="preserve"> 13 </w:t>
            </w:r>
            <w:r>
              <w:rPr>
                <w:rFonts w:hint="eastAsia" w:ascii="宋体" w:hAnsi="宋体" w:eastAsia="宋体" w:cs="宋体"/>
                <w:color w:val="auto"/>
                <w:kern w:val="2"/>
                <w:sz w:val="21"/>
                <w:szCs w:val="21"/>
                <w:highlight w:val="none"/>
                <w:u w:val="single"/>
                <w:lang w:val="en-US" w:eastAsia="en-US" w:bidi="ar-SA"/>
              </w:rPr>
              <w:t>日</w:t>
            </w:r>
            <w:r>
              <w:rPr>
                <w:rFonts w:hint="eastAsia" w:cs="宋体"/>
                <w:color w:val="auto"/>
                <w:kern w:val="2"/>
                <w:sz w:val="21"/>
                <w:szCs w:val="21"/>
                <w:highlight w:val="none"/>
                <w:u w:val="single"/>
                <w:lang w:val="en-US" w:eastAsia="zh-CN" w:bidi="ar-SA"/>
              </w:rPr>
              <w:t xml:space="preserve"> 15 </w:t>
            </w:r>
            <w:r>
              <w:rPr>
                <w:rFonts w:hint="eastAsia" w:ascii="宋体" w:hAnsi="宋体" w:eastAsia="宋体" w:cs="宋体"/>
                <w:color w:val="auto"/>
                <w:kern w:val="2"/>
                <w:sz w:val="21"/>
                <w:szCs w:val="21"/>
                <w:highlight w:val="none"/>
                <w:u w:val="single"/>
                <w:lang w:val="en-US" w:eastAsia="en-US" w:bidi="ar-SA"/>
              </w:rPr>
              <w:t>时</w:t>
            </w:r>
            <w:r>
              <w:rPr>
                <w:rFonts w:hint="eastAsia" w:cs="宋体"/>
                <w:color w:val="auto"/>
                <w:kern w:val="2"/>
                <w:sz w:val="21"/>
                <w:szCs w:val="21"/>
                <w:highlight w:val="none"/>
                <w:u w:val="single"/>
                <w:lang w:val="en-US" w:eastAsia="zh-CN" w:bidi="ar-SA"/>
              </w:rPr>
              <w:t>00</w:t>
            </w:r>
            <w:r>
              <w:rPr>
                <w:rFonts w:hint="eastAsia" w:ascii="宋体" w:hAnsi="宋体" w:eastAsia="宋体" w:cs="宋体"/>
                <w:color w:val="auto"/>
                <w:kern w:val="2"/>
                <w:sz w:val="21"/>
                <w:szCs w:val="21"/>
                <w:highlight w:val="none"/>
                <w:u w:val="single"/>
                <w:lang w:val="en-US" w:eastAsia="en-US" w:bidi="ar-SA"/>
              </w:rPr>
              <w:t>分（北京时间）</w:t>
            </w:r>
          </w:p>
        </w:tc>
      </w:tr>
      <w:tr w14:paraId="46AB4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7" w:hRule="atLeast"/>
          <w:jc w:val="center"/>
        </w:trPr>
        <w:tc>
          <w:tcPr>
            <w:tcW w:w="1003" w:type="dxa"/>
            <w:vMerge w:val="continue"/>
            <w:shd w:val="clear" w:color="auto" w:fill="auto"/>
            <w:vAlign w:val="center"/>
          </w:tcPr>
          <w:p w14:paraId="494D3FF3">
            <w:pPr>
              <w:autoSpaceDE w:val="0"/>
              <w:autoSpaceDN w:val="0"/>
              <w:spacing w:line="360" w:lineRule="auto"/>
              <w:jc w:val="center"/>
              <w:rPr>
                <w:rFonts w:hint="eastAsia" w:ascii="宋体" w:hAnsi="宋体" w:eastAsia="宋体" w:cs="宋体"/>
                <w:color w:val="auto"/>
                <w:kern w:val="0"/>
                <w:sz w:val="21"/>
                <w:szCs w:val="21"/>
                <w:lang w:eastAsia="en-US"/>
              </w:rPr>
            </w:pPr>
          </w:p>
        </w:tc>
        <w:tc>
          <w:tcPr>
            <w:tcW w:w="1853" w:type="dxa"/>
            <w:shd w:val="clear" w:color="auto" w:fill="auto"/>
            <w:vAlign w:val="center"/>
          </w:tcPr>
          <w:p w14:paraId="773D2D9A">
            <w:pPr>
              <w:pStyle w:val="37"/>
              <w:spacing w:before="16"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磋商地点</w:t>
            </w:r>
          </w:p>
        </w:tc>
        <w:tc>
          <w:tcPr>
            <w:tcW w:w="5735" w:type="dxa"/>
            <w:shd w:val="clear" w:color="auto" w:fill="auto"/>
            <w:vAlign w:val="center"/>
          </w:tcPr>
          <w:p w14:paraId="457380CA">
            <w:pPr>
              <w:pStyle w:val="37"/>
              <w:spacing w:before="16" w:line="360" w:lineRule="auto"/>
              <w:ind w:left="108"/>
              <w:jc w:val="left"/>
              <w:rPr>
                <w:rFonts w:hint="eastAsia" w:ascii="宋体" w:hAnsi="宋体" w:eastAsia="宋体" w:cs="宋体"/>
                <w:color w:val="auto"/>
                <w:sz w:val="21"/>
                <w:szCs w:val="21"/>
                <w:lang w:eastAsia="en-US"/>
              </w:rPr>
            </w:pPr>
            <w:r>
              <w:rPr>
                <w:rFonts w:hint="eastAsia" w:cs="宋体"/>
                <w:color w:val="auto"/>
                <w:kern w:val="2"/>
                <w:sz w:val="21"/>
                <w:szCs w:val="21"/>
                <w:highlight w:val="none"/>
                <w:u w:val="single"/>
                <w:lang w:val="en-US" w:eastAsia="zh-CN" w:bidi="ar-SA"/>
              </w:rPr>
              <w:t>安徽省界首市全季酒店5楼会议室</w:t>
            </w:r>
          </w:p>
        </w:tc>
      </w:tr>
      <w:tr w14:paraId="38E3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jc w:val="center"/>
        </w:trPr>
        <w:tc>
          <w:tcPr>
            <w:tcW w:w="1003" w:type="dxa"/>
            <w:shd w:val="clear" w:color="auto" w:fill="auto"/>
            <w:vAlign w:val="center"/>
          </w:tcPr>
          <w:p w14:paraId="452F5A2E">
            <w:pPr>
              <w:pStyle w:val="37"/>
              <w:spacing w:before="19"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19</w:t>
            </w:r>
          </w:p>
        </w:tc>
        <w:tc>
          <w:tcPr>
            <w:tcW w:w="1853" w:type="dxa"/>
            <w:shd w:val="clear" w:color="auto" w:fill="auto"/>
            <w:vAlign w:val="center"/>
          </w:tcPr>
          <w:p w14:paraId="0B1B46C3">
            <w:pPr>
              <w:pStyle w:val="37"/>
              <w:spacing w:before="19"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磋商办法</w:t>
            </w:r>
          </w:p>
        </w:tc>
        <w:tc>
          <w:tcPr>
            <w:tcW w:w="5735" w:type="dxa"/>
            <w:shd w:val="clear" w:color="auto" w:fill="auto"/>
            <w:vAlign w:val="center"/>
          </w:tcPr>
          <w:p w14:paraId="4C0149AB">
            <w:pPr>
              <w:pStyle w:val="37"/>
              <w:spacing w:before="19" w:line="360" w:lineRule="auto"/>
              <w:ind w:left="108"/>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u w:val="single"/>
                <w:lang w:eastAsia="en-US"/>
              </w:rPr>
              <w:t>综合评分法</w:t>
            </w:r>
          </w:p>
        </w:tc>
      </w:tr>
      <w:tr w14:paraId="39E34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1003" w:type="dxa"/>
            <w:shd w:val="clear" w:color="auto" w:fill="auto"/>
            <w:vAlign w:val="center"/>
          </w:tcPr>
          <w:p w14:paraId="6589703C">
            <w:pPr>
              <w:pStyle w:val="37"/>
              <w:spacing w:before="19"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c>
          <w:tcPr>
            <w:tcW w:w="1853" w:type="dxa"/>
            <w:shd w:val="clear" w:color="auto" w:fill="auto"/>
            <w:vAlign w:val="center"/>
          </w:tcPr>
          <w:p w14:paraId="322D3F24">
            <w:pPr>
              <w:spacing w:line="380" w:lineRule="exact"/>
              <w:jc w:val="center"/>
              <w:textAlignment w:val="center"/>
              <w:rPr>
                <w:rFonts w:hint="eastAsia" w:ascii="宋体" w:hAnsi="宋体" w:eastAsia="宋体" w:cs="宋体"/>
                <w:color w:val="auto"/>
                <w:kern w:val="0"/>
                <w:sz w:val="21"/>
                <w:szCs w:val="21"/>
                <w:lang w:val="zh-CN" w:eastAsia="zh-CN" w:bidi="zh-CN"/>
              </w:rPr>
            </w:pPr>
            <w:r>
              <w:rPr>
                <w:rFonts w:hint="eastAsia" w:ascii="宋体" w:hAnsi="宋体" w:eastAsia="宋体" w:cs="宋体"/>
                <w:color w:val="auto"/>
                <w:kern w:val="0"/>
                <w:sz w:val="21"/>
                <w:szCs w:val="21"/>
                <w:lang w:val="zh-CN" w:eastAsia="zh-CN" w:bidi="zh-CN"/>
              </w:rPr>
              <w:t>付款方式</w:t>
            </w:r>
          </w:p>
        </w:tc>
        <w:tc>
          <w:tcPr>
            <w:tcW w:w="5735" w:type="dxa"/>
            <w:shd w:val="clear" w:color="auto" w:fill="auto"/>
            <w:vAlign w:val="center"/>
          </w:tcPr>
          <w:p w14:paraId="08D4E708">
            <w:pPr>
              <w:numPr>
                <w:ilvl w:val="0"/>
                <w:numId w:val="2"/>
              </w:numPr>
              <w:autoSpaceDE w:val="0"/>
              <w:autoSpaceDN w:val="0"/>
              <w:adjustRightInd w:val="0"/>
              <w:spacing w:line="380" w:lineRule="exact"/>
              <w:jc w:val="left"/>
              <w:textAlignment w:val="center"/>
              <w:rPr>
                <w:rFonts w:hint="eastAsia" w:ascii="宋体" w:hAnsi="宋体" w:eastAsia="宋体" w:cs="宋体"/>
                <w:color w:val="auto"/>
                <w:sz w:val="21"/>
                <w:szCs w:val="21"/>
                <w:highlight w:val="none"/>
                <w:lang w:eastAsia="en-US"/>
              </w:rPr>
            </w:pPr>
            <w:r>
              <w:rPr>
                <w:rFonts w:hint="eastAsia" w:ascii="宋体" w:hAnsi="宋体" w:eastAsia="宋体" w:cs="宋体"/>
                <w:color w:val="auto"/>
                <w:sz w:val="21"/>
                <w:szCs w:val="21"/>
                <w:highlight w:val="none"/>
                <w:lang w:eastAsia="en-US"/>
              </w:rPr>
              <w:t>设计单位完成方案设计后付至合同价款的20%；</w:t>
            </w:r>
          </w:p>
          <w:p w14:paraId="1C95FE06">
            <w:pPr>
              <w:numPr>
                <w:ilvl w:val="0"/>
                <w:numId w:val="2"/>
              </w:numPr>
              <w:autoSpaceDE w:val="0"/>
              <w:autoSpaceDN w:val="0"/>
              <w:adjustRightInd w:val="0"/>
              <w:spacing w:line="380" w:lineRule="exact"/>
              <w:jc w:val="left"/>
              <w:textAlignment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sz w:val="21"/>
                <w:szCs w:val="21"/>
                <w:highlight w:val="none"/>
                <w:lang w:eastAsia="en-US"/>
              </w:rPr>
              <w:t>完成施工图设计</w:t>
            </w:r>
            <w:r>
              <w:rPr>
                <w:rFonts w:hint="eastAsia" w:ascii="宋体" w:hAnsi="宋体" w:cs="宋体"/>
                <w:color w:val="auto"/>
                <w:sz w:val="21"/>
                <w:szCs w:val="21"/>
                <w:highlight w:val="none"/>
                <w:lang w:eastAsia="zh-CN"/>
              </w:rPr>
              <w:t>并经审查合格后</w:t>
            </w:r>
            <w:r>
              <w:rPr>
                <w:rFonts w:hint="eastAsia" w:ascii="宋体" w:hAnsi="宋体" w:eastAsia="宋体" w:cs="宋体"/>
                <w:color w:val="auto"/>
                <w:sz w:val="21"/>
                <w:szCs w:val="21"/>
                <w:highlight w:val="none"/>
                <w:lang w:eastAsia="en-US"/>
              </w:rPr>
              <w:t>付至合同价款的</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lang w:eastAsia="en-US"/>
              </w:rPr>
              <w:t>%；</w:t>
            </w:r>
          </w:p>
          <w:p w14:paraId="1AF3A403">
            <w:pPr>
              <w:numPr>
                <w:ilvl w:val="0"/>
                <w:numId w:val="2"/>
              </w:numPr>
              <w:autoSpaceDE w:val="0"/>
              <w:autoSpaceDN w:val="0"/>
              <w:adjustRightInd w:val="0"/>
              <w:spacing w:line="380" w:lineRule="exact"/>
              <w:jc w:val="left"/>
              <w:textAlignment w:val="center"/>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sz w:val="21"/>
                <w:szCs w:val="21"/>
                <w:highlight w:val="none"/>
                <w:lang w:eastAsia="en-US"/>
              </w:rPr>
              <w:t>工程竣工验收合格后付至合同价款的</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lang w:eastAsia="en-US"/>
              </w:rPr>
              <w:t>%</w:t>
            </w:r>
            <w:r>
              <w:rPr>
                <w:rFonts w:hint="eastAsia" w:ascii="宋体" w:hAnsi="宋体" w:cs="宋体"/>
                <w:color w:val="auto"/>
                <w:sz w:val="21"/>
                <w:szCs w:val="21"/>
                <w:highlight w:val="none"/>
                <w:lang w:eastAsia="zh-CN"/>
              </w:rPr>
              <w:t>。</w:t>
            </w:r>
          </w:p>
        </w:tc>
      </w:tr>
      <w:tr w14:paraId="46614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3" w:hRule="atLeast"/>
          <w:jc w:val="center"/>
        </w:trPr>
        <w:tc>
          <w:tcPr>
            <w:tcW w:w="1003" w:type="dxa"/>
            <w:shd w:val="clear" w:color="auto" w:fill="auto"/>
            <w:vAlign w:val="center"/>
          </w:tcPr>
          <w:p w14:paraId="219D84E5">
            <w:pPr>
              <w:pStyle w:val="37"/>
              <w:spacing w:before="19"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w:t>
            </w:r>
          </w:p>
        </w:tc>
        <w:tc>
          <w:tcPr>
            <w:tcW w:w="1853" w:type="dxa"/>
            <w:shd w:val="clear" w:color="auto" w:fill="auto"/>
            <w:vAlign w:val="center"/>
          </w:tcPr>
          <w:p w14:paraId="15C0341B">
            <w:pPr>
              <w:spacing w:line="380" w:lineRule="exact"/>
              <w:jc w:val="center"/>
              <w:textAlignment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rPr>
              <w:t>人员到场</w:t>
            </w:r>
          </w:p>
        </w:tc>
        <w:tc>
          <w:tcPr>
            <w:tcW w:w="5735" w:type="dxa"/>
            <w:shd w:val="clear" w:color="auto" w:fill="auto"/>
            <w:vAlign w:val="center"/>
          </w:tcPr>
          <w:p w14:paraId="1CBE9E77">
            <w:pPr>
              <w:autoSpaceDE w:val="0"/>
              <w:autoSpaceDN w:val="0"/>
              <w:adjustRightInd w:val="0"/>
              <w:spacing w:line="380" w:lineRule="exact"/>
              <w:jc w:val="left"/>
              <w:textAlignment w:val="center"/>
              <w:rPr>
                <w:rFonts w:hint="eastAsia" w:ascii="宋体" w:hAnsi="宋体" w:eastAsia="宋体" w:cs="宋体"/>
                <w:b/>
                <w:bCs/>
                <w:color w:val="auto"/>
              </w:rPr>
            </w:pPr>
            <w:r>
              <w:rPr>
                <w:rFonts w:hint="eastAsia" w:ascii="宋体" w:hAnsi="宋体" w:eastAsia="宋体" w:cs="宋体"/>
                <w:b/>
                <w:bCs/>
                <w:color w:val="auto"/>
              </w:rPr>
              <w:t>供应商凭以下资料递交</w:t>
            </w:r>
            <w:r>
              <w:rPr>
                <w:rFonts w:hint="eastAsia" w:ascii="宋体" w:hAnsi="宋体" w:eastAsia="宋体" w:cs="宋体"/>
                <w:b/>
                <w:bCs/>
                <w:color w:val="auto"/>
                <w:lang w:eastAsia="zh-CN"/>
              </w:rPr>
              <w:t>投标</w:t>
            </w:r>
            <w:r>
              <w:rPr>
                <w:rFonts w:hint="eastAsia" w:ascii="宋体" w:hAnsi="宋体" w:eastAsia="宋体" w:cs="宋体"/>
                <w:b/>
                <w:bCs/>
                <w:color w:val="auto"/>
              </w:rPr>
              <w:t>文件：</w:t>
            </w:r>
          </w:p>
          <w:p w14:paraId="36061C70">
            <w:pPr>
              <w:autoSpaceDE w:val="0"/>
              <w:autoSpaceDN w:val="0"/>
              <w:adjustRightInd w:val="0"/>
              <w:spacing w:line="380" w:lineRule="exact"/>
              <w:jc w:val="left"/>
              <w:textAlignment w:val="center"/>
              <w:rPr>
                <w:rFonts w:hint="eastAsia" w:ascii="宋体" w:hAnsi="宋体" w:eastAsia="宋体" w:cs="宋体"/>
                <w:b/>
                <w:bCs/>
                <w:color w:val="auto"/>
              </w:rPr>
            </w:pPr>
            <w:r>
              <w:rPr>
                <w:rFonts w:hint="eastAsia" w:ascii="宋体" w:hAnsi="宋体" w:eastAsia="宋体" w:cs="宋体"/>
                <w:b/>
                <w:bCs/>
                <w:color w:val="auto"/>
              </w:rPr>
              <w:t>①授权委托书原件并加盖公章；②授权人身份证原件。</w:t>
            </w:r>
          </w:p>
          <w:p w14:paraId="52CA8BB1">
            <w:pPr>
              <w:autoSpaceDE w:val="0"/>
              <w:autoSpaceDN w:val="0"/>
              <w:adjustRightInd w:val="0"/>
              <w:spacing w:line="380" w:lineRule="exact"/>
              <w:jc w:val="left"/>
              <w:textAlignment w:val="center"/>
              <w:rPr>
                <w:rFonts w:hint="eastAsia" w:ascii="宋体" w:hAnsi="宋体" w:eastAsia="宋体" w:cs="宋体"/>
                <w:color w:val="auto"/>
                <w:lang w:eastAsia="en-US"/>
              </w:rPr>
            </w:pPr>
            <w:r>
              <w:rPr>
                <w:rFonts w:hint="eastAsia" w:ascii="宋体" w:hAnsi="宋体" w:eastAsia="宋体" w:cs="宋体"/>
                <w:b/>
                <w:bCs/>
                <w:color w:val="auto"/>
              </w:rPr>
              <w:t>若法定代表人本人参加，只需提供身份证复印件加盖单位公章。</w:t>
            </w:r>
          </w:p>
        </w:tc>
      </w:tr>
      <w:tr w14:paraId="0D1F42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03" w:type="dxa"/>
            <w:shd w:val="clear" w:color="auto" w:fill="auto"/>
            <w:vAlign w:val="center"/>
          </w:tcPr>
          <w:p w14:paraId="659D80E9">
            <w:pPr>
              <w:pStyle w:val="37"/>
              <w:spacing w:before="146"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w:t>
            </w:r>
          </w:p>
        </w:tc>
        <w:tc>
          <w:tcPr>
            <w:tcW w:w="1853" w:type="dxa"/>
            <w:shd w:val="clear" w:color="auto" w:fill="auto"/>
            <w:vAlign w:val="center"/>
          </w:tcPr>
          <w:p w14:paraId="745B70E7">
            <w:pPr>
              <w:pStyle w:val="37"/>
              <w:spacing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告知磋商结果的</w:t>
            </w:r>
          </w:p>
          <w:p w14:paraId="1A9E1579">
            <w:pPr>
              <w:pStyle w:val="37"/>
              <w:spacing w:before="158" w:line="360" w:lineRule="auto"/>
              <w:ind w:left="107" w:leftChars="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形式</w:t>
            </w:r>
          </w:p>
        </w:tc>
        <w:tc>
          <w:tcPr>
            <w:tcW w:w="5735" w:type="dxa"/>
            <w:shd w:val="clear" w:color="auto" w:fill="auto"/>
            <w:vAlign w:val="center"/>
          </w:tcPr>
          <w:p w14:paraId="2EEDCBEF">
            <w:pPr>
              <w:pStyle w:val="37"/>
              <w:spacing w:before="158" w:line="360" w:lineRule="auto"/>
              <w:ind w:left="108" w:leftChars="0"/>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投标人自行</w:t>
            </w:r>
            <w:r>
              <w:rPr>
                <w:rFonts w:hint="eastAsia" w:ascii="宋体" w:hAnsi="宋体" w:eastAsia="宋体" w:cs="宋体"/>
                <w:color w:val="auto"/>
                <w:sz w:val="21"/>
                <w:szCs w:val="21"/>
                <w:lang w:val="en-US" w:eastAsia="zh-CN"/>
              </w:rPr>
              <w:t>在</w:t>
            </w:r>
            <w:r>
              <w:rPr>
                <w:rFonts w:hint="eastAsia" w:ascii="宋体" w:hAnsi="宋体" w:eastAsia="宋体" w:cs="宋体"/>
                <w:color w:val="auto"/>
                <w:kern w:val="0"/>
                <w:sz w:val="21"/>
                <w:szCs w:val="21"/>
                <w:lang w:val="en-US" w:eastAsia="zh-CN"/>
              </w:rPr>
              <w:t>界首市城乡建设发展集团有限公司http://www.jscxjs.cn/网站</w:t>
            </w:r>
            <w:r>
              <w:rPr>
                <w:rFonts w:hint="eastAsia" w:ascii="宋体" w:hAnsi="宋体" w:eastAsia="宋体" w:cs="宋体"/>
                <w:color w:val="auto"/>
                <w:sz w:val="21"/>
                <w:szCs w:val="21"/>
              </w:rPr>
              <w:t>查看</w:t>
            </w:r>
          </w:p>
        </w:tc>
      </w:tr>
      <w:tr w14:paraId="033A0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jc w:val="center"/>
        </w:trPr>
        <w:tc>
          <w:tcPr>
            <w:tcW w:w="1003" w:type="dxa"/>
            <w:shd w:val="clear" w:color="auto" w:fill="auto"/>
            <w:vAlign w:val="center"/>
          </w:tcPr>
          <w:p w14:paraId="6E927CAE">
            <w:pPr>
              <w:pStyle w:val="37"/>
              <w:spacing w:before="214" w:line="360" w:lineRule="auto"/>
              <w:ind w:right="24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w:t>
            </w:r>
          </w:p>
        </w:tc>
        <w:tc>
          <w:tcPr>
            <w:tcW w:w="1853" w:type="dxa"/>
            <w:shd w:val="clear" w:color="auto" w:fill="auto"/>
            <w:vAlign w:val="center"/>
          </w:tcPr>
          <w:p w14:paraId="53846753">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highlight w:val="none"/>
              </w:rPr>
              <w:t>采购代理服务费</w:t>
            </w:r>
          </w:p>
        </w:tc>
        <w:tc>
          <w:tcPr>
            <w:tcW w:w="5735" w:type="dxa"/>
            <w:shd w:val="clear" w:color="auto" w:fill="auto"/>
            <w:vAlign w:val="center"/>
          </w:tcPr>
          <w:p w14:paraId="2CF74BDF">
            <w:pPr>
              <w:numPr>
                <w:ilvl w:val="0"/>
                <w:numId w:val="3"/>
              </w:numPr>
              <w:spacing w:line="500" w:lineRule="atLeas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代理服务费：</w:t>
            </w: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lang w:val="en-US" w:eastAsia="zh-CN"/>
              </w:rPr>
              <w:t>000元</w:t>
            </w:r>
            <w:r>
              <w:rPr>
                <w:rFonts w:hint="eastAsia" w:ascii="宋体" w:hAnsi="宋体" w:eastAsia="宋体" w:cs="宋体"/>
                <w:b w:val="0"/>
                <w:bCs w:val="0"/>
                <w:color w:val="auto"/>
                <w:sz w:val="21"/>
                <w:szCs w:val="21"/>
              </w:rPr>
              <w:t>。</w:t>
            </w:r>
          </w:p>
          <w:p w14:paraId="116311BC">
            <w:pPr>
              <w:numPr>
                <w:ilvl w:val="0"/>
                <w:numId w:val="0"/>
              </w:numPr>
              <w:spacing w:line="500" w:lineRule="atLeast"/>
              <w:ind w:left="0" w:leftChars="0" w:firstLine="0" w:firstLineChars="0"/>
              <w:rPr>
                <w:rFonts w:hint="eastAsia" w:ascii="宋体" w:hAnsi="宋体" w:eastAsia="宋体" w:cs="宋体"/>
                <w:b w:val="0"/>
                <w:bCs w:val="0"/>
                <w:color w:val="auto"/>
                <w:sz w:val="21"/>
                <w:szCs w:val="21"/>
                <w:lang w:eastAsia="en-US"/>
              </w:rPr>
            </w:pPr>
            <w:r>
              <w:rPr>
                <w:rFonts w:hint="eastAsia" w:ascii="宋体" w:hAnsi="宋体" w:eastAsia="宋体" w:cs="宋体"/>
                <w:b w:val="0"/>
                <w:bCs w:val="0"/>
                <w:color w:val="auto"/>
                <w:sz w:val="21"/>
                <w:szCs w:val="21"/>
                <w:lang w:val="en-US" w:eastAsia="zh-CN"/>
              </w:rPr>
              <w:t>注：</w:t>
            </w:r>
            <w:r>
              <w:rPr>
                <w:rFonts w:hint="eastAsia" w:ascii="宋体" w:hAnsi="宋体" w:eastAsia="宋体" w:cs="宋体"/>
                <w:b w:val="0"/>
                <w:bCs w:val="0"/>
                <w:color w:val="auto"/>
                <w:sz w:val="21"/>
                <w:szCs w:val="21"/>
              </w:rPr>
              <w:t>以上费用不单独列出，供应商自行考虑。成交人在领取成交通知书前支付以上费用。</w:t>
            </w:r>
          </w:p>
        </w:tc>
      </w:tr>
      <w:tr w14:paraId="18BEF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0" w:hRule="atLeast"/>
          <w:jc w:val="center"/>
        </w:trPr>
        <w:tc>
          <w:tcPr>
            <w:tcW w:w="1003" w:type="dxa"/>
            <w:shd w:val="clear" w:color="auto" w:fill="auto"/>
            <w:vAlign w:val="center"/>
          </w:tcPr>
          <w:p w14:paraId="760D5F46">
            <w:pPr>
              <w:pStyle w:val="37"/>
              <w:spacing w:line="360" w:lineRule="auto"/>
              <w:ind w:right="489"/>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w:t>
            </w:r>
          </w:p>
        </w:tc>
        <w:tc>
          <w:tcPr>
            <w:tcW w:w="1853" w:type="dxa"/>
            <w:shd w:val="clear" w:color="auto" w:fill="auto"/>
            <w:vAlign w:val="center"/>
          </w:tcPr>
          <w:p w14:paraId="6173844C">
            <w:pPr>
              <w:pStyle w:val="37"/>
              <w:spacing w:line="360" w:lineRule="auto"/>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解释权</w:t>
            </w:r>
          </w:p>
        </w:tc>
        <w:tc>
          <w:tcPr>
            <w:tcW w:w="5735" w:type="dxa"/>
            <w:shd w:val="clear" w:color="auto" w:fill="auto"/>
            <w:vAlign w:val="center"/>
          </w:tcPr>
          <w:p w14:paraId="4C735AC8">
            <w:pPr>
              <w:pStyle w:val="37"/>
              <w:numPr>
                <w:ilvl w:val="0"/>
                <w:numId w:val="4"/>
              </w:numPr>
              <w:tabs>
                <w:tab w:val="left" w:pos="710"/>
              </w:tabs>
              <w:spacing w:line="276" w:lineRule="auto"/>
              <w:ind w:right="-29" w:firstLine="0"/>
              <w:jc w:val="left"/>
              <w:rPr>
                <w:rFonts w:hint="eastAsia" w:ascii="宋体" w:hAnsi="宋体" w:eastAsia="宋体" w:cs="宋体"/>
                <w:color w:val="auto"/>
                <w:sz w:val="21"/>
                <w:szCs w:val="21"/>
              </w:rPr>
            </w:pPr>
            <w:r>
              <w:rPr>
                <w:rFonts w:hint="eastAsia" w:ascii="宋体" w:hAnsi="宋体" w:eastAsia="宋体" w:cs="宋体"/>
                <w:color w:val="auto"/>
                <w:sz w:val="21"/>
                <w:szCs w:val="21"/>
              </w:rPr>
              <w:t>构成本磋商文件的各个组成文件应互为解释，互为说明；</w:t>
            </w:r>
          </w:p>
          <w:p w14:paraId="48267D47">
            <w:pPr>
              <w:pStyle w:val="37"/>
              <w:numPr>
                <w:ilvl w:val="0"/>
                <w:numId w:val="4"/>
              </w:numPr>
              <w:tabs>
                <w:tab w:val="left" w:pos="723"/>
              </w:tabs>
              <w:spacing w:before="4" w:line="276" w:lineRule="auto"/>
              <w:ind w:right="102" w:firstLine="0"/>
              <w:jc w:val="left"/>
              <w:rPr>
                <w:rFonts w:hint="eastAsia" w:ascii="宋体" w:hAnsi="宋体" w:eastAsia="宋体" w:cs="宋体"/>
                <w:color w:val="auto"/>
                <w:sz w:val="21"/>
                <w:szCs w:val="21"/>
              </w:rPr>
            </w:pPr>
            <w:r>
              <w:rPr>
                <w:rFonts w:hint="eastAsia" w:ascii="宋体" w:hAnsi="宋体" w:eastAsia="宋体" w:cs="宋体"/>
                <w:color w:val="auto"/>
                <w:sz w:val="21"/>
                <w:szCs w:val="21"/>
              </w:rPr>
              <w:t>同一组成文件中就同一事项的规定或约定不一致的，以编排顺序在后者为准；</w:t>
            </w:r>
          </w:p>
          <w:p w14:paraId="6F195FFE">
            <w:pPr>
              <w:pStyle w:val="37"/>
              <w:numPr>
                <w:ilvl w:val="0"/>
                <w:numId w:val="4"/>
              </w:numPr>
              <w:tabs>
                <w:tab w:val="left" w:pos="723"/>
              </w:tabs>
              <w:spacing w:before="6" w:line="276" w:lineRule="auto"/>
              <w:ind w:left="722" w:hanging="615"/>
              <w:jc w:val="left"/>
              <w:rPr>
                <w:rFonts w:hint="eastAsia" w:ascii="宋体" w:hAnsi="宋体" w:eastAsia="宋体" w:cs="宋体"/>
                <w:color w:val="auto"/>
                <w:sz w:val="21"/>
                <w:szCs w:val="21"/>
              </w:rPr>
            </w:pPr>
            <w:r>
              <w:rPr>
                <w:rFonts w:hint="eastAsia" w:ascii="宋体" w:hAnsi="宋体" w:eastAsia="宋体" w:cs="宋体"/>
                <w:color w:val="auto"/>
                <w:sz w:val="21"/>
                <w:szCs w:val="21"/>
              </w:rPr>
              <w:t>如有不明确或不一致，构成合同文件组成内</w:t>
            </w:r>
          </w:p>
          <w:p w14:paraId="04D92F78">
            <w:pPr>
              <w:pStyle w:val="37"/>
              <w:spacing w:line="276" w:lineRule="auto"/>
              <w:ind w:left="108"/>
              <w:jc w:val="left"/>
              <w:rPr>
                <w:rFonts w:hint="eastAsia" w:ascii="宋体" w:hAnsi="宋体" w:eastAsia="宋体" w:cs="宋体"/>
                <w:color w:val="auto"/>
                <w:sz w:val="21"/>
                <w:szCs w:val="21"/>
              </w:rPr>
            </w:pPr>
            <w:r>
              <w:rPr>
                <w:rFonts w:hint="eastAsia" w:ascii="宋体" w:hAnsi="宋体" w:eastAsia="宋体" w:cs="宋体"/>
                <w:color w:val="auto"/>
                <w:sz w:val="21"/>
                <w:szCs w:val="21"/>
              </w:rPr>
              <w:t>容的，以合同文件约定内容为准，且以专用合同条款约定的合同文件优先顺序解释；</w:t>
            </w:r>
          </w:p>
          <w:p w14:paraId="47437BC3">
            <w:pPr>
              <w:pStyle w:val="37"/>
              <w:numPr>
                <w:ilvl w:val="0"/>
                <w:numId w:val="5"/>
              </w:numPr>
              <w:tabs>
                <w:tab w:val="left" w:pos="723"/>
              </w:tabs>
              <w:spacing w:before="160" w:line="276" w:lineRule="auto"/>
              <w:ind w:right="90" w:firstLine="0"/>
              <w:jc w:val="left"/>
              <w:rPr>
                <w:rFonts w:hint="eastAsia" w:ascii="宋体" w:hAnsi="宋体" w:eastAsia="宋体" w:cs="宋体"/>
                <w:color w:val="auto"/>
                <w:sz w:val="21"/>
                <w:szCs w:val="21"/>
              </w:rPr>
            </w:pPr>
            <w:r>
              <w:rPr>
                <w:rFonts w:hint="eastAsia" w:ascii="宋体" w:hAnsi="宋体" w:eastAsia="宋体" w:cs="宋体"/>
                <w:color w:val="auto"/>
                <w:sz w:val="21"/>
                <w:szCs w:val="21"/>
              </w:rPr>
              <w:t>除磋商文件中有特别规定外，仅适用于磋商及响应文件提交阶段的规定，按磋商公告、供应商须知、评审方法和标准、响应文件格式的先后顺序解释；</w:t>
            </w:r>
          </w:p>
          <w:p w14:paraId="23E3505D">
            <w:pPr>
              <w:pStyle w:val="37"/>
              <w:numPr>
                <w:ilvl w:val="0"/>
                <w:numId w:val="5"/>
              </w:numPr>
              <w:tabs>
                <w:tab w:val="left" w:pos="723"/>
              </w:tabs>
              <w:spacing w:line="276" w:lineRule="auto"/>
              <w:ind w:left="722"/>
              <w:jc w:val="left"/>
              <w:rPr>
                <w:rFonts w:hint="eastAsia" w:ascii="宋体" w:hAnsi="宋体" w:eastAsia="宋体" w:cs="宋体"/>
                <w:color w:val="auto"/>
                <w:sz w:val="21"/>
                <w:szCs w:val="21"/>
              </w:rPr>
            </w:pPr>
            <w:r>
              <w:rPr>
                <w:rFonts w:hint="eastAsia" w:ascii="宋体" w:hAnsi="宋体" w:eastAsia="宋体" w:cs="宋体"/>
                <w:color w:val="auto"/>
                <w:sz w:val="21"/>
                <w:szCs w:val="21"/>
              </w:rPr>
              <w:t>按本款前述规定仍不能形成结论的，由采购人负责解释。</w:t>
            </w:r>
          </w:p>
          <w:p w14:paraId="6B2DD781">
            <w:pPr>
              <w:pStyle w:val="37"/>
              <w:numPr>
                <w:ilvl w:val="0"/>
                <w:numId w:val="5"/>
              </w:numPr>
              <w:tabs>
                <w:tab w:val="left" w:pos="723"/>
              </w:tabs>
              <w:spacing w:line="276" w:lineRule="auto"/>
              <w:ind w:left="722"/>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本竞争性磋商文件的最终解释权归采购人所有。</w:t>
            </w:r>
          </w:p>
        </w:tc>
      </w:tr>
      <w:tr w14:paraId="1C965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003" w:type="dxa"/>
            <w:shd w:val="clear" w:color="auto" w:fill="auto"/>
            <w:vAlign w:val="center"/>
          </w:tcPr>
          <w:p w14:paraId="69C09ED8">
            <w:pPr>
              <w:pStyle w:val="37"/>
              <w:spacing w:before="19" w:line="360" w:lineRule="auto"/>
              <w:jc w:val="center"/>
              <w:rPr>
                <w:rFonts w:hint="default" w:ascii="宋体" w:hAnsi="宋体" w:eastAsia="宋体" w:cs="宋体"/>
                <w:color w:val="auto"/>
                <w:sz w:val="21"/>
                <w:szCs w:val="21"/>
                <w:lang w:val="en-US" w:eastAsia="zh-CN"/>
              </w:rPr>
            </w:pPr>
            <w:r>
              <w:rPr>
                <w:rFonts w:hint="eastAsia" w:cs="宋体"/>
                <w:color w:val="auto"/>
                <w:sz w:val="21"/>
                <w:szCs w:val="21"/>
                <w:lang w:val="en-US" w:eastAsia="zh-CN"/>
              </w:rPr>
              <w:t>25</w:t>
            </w:r>
          </w:p>
        </w:tc>
        <w:tc>
          <w:tcPr>
            <w:tcW w:w="1853" w:type="dxa"/>
            <w:shd w:val="clear" w:color="auto" w:fill="auto"/>
            <w:vAlign w:val="center"/>
          </w:tcPr>
          <w:p w14:paraId="0660D999">
            <w:pPr>
              <w:pStyle w:val="37"/>
              <w:spacing w:before="19" w:line="360" w:lineRule="auto"/>
              <w:ind w:left="107"/>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异常低价</w:t>
            </w:r>
          </w:p>
        </w:tc>
        <w:tc>
          <w:tcPr>
            <w:tcW w:w="5735" w:type="dxa"/>
            <w:shd w:val="clear" w:color="auto" w:fill="auto"/>
            <w:vAlign w:val="center"/>
          </w:tcPr>
          <w:p w14:paraId="22E90C66">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评审中出现下列情形之一的，磋商小组应当启动异常低价响应</w:t>
            </w:r>
          </w:p>
          <w:p w14:paraId="306E0F23">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审查程序： </w:t>
            </w:r>
          </w:p>
          <w:p w14:paraId="47BA7D5E">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cs="宋体"/>
                <w:color w:val="auto"/>
                <w:sz w:val="21"/>
                <w:szCs w:val="21"/>
                <w:lang w:eastAsia="zh-CN"/>
              </w:rPr>
              <w:t>（</w:t>
            </w:r>
            <w:r>
              <w:rPr>
                <w:rFonts w:hint="eastAsia" w:ascii="宋体" w:hAnsi="宋体" w:eastAsia="宋体" w:cs="宋体"/>
                <w:color w:val="auto"/>
                <w:sz w:val="21"/>
                <w:szCs w:val="21"/>
                <w:lang w:eastAsia="en-US"/>
              </w:rPr>
              <w:t xml:space="preserve">1）响应报价低于全部通过符合性审查供应商响应报价平均值 50%的，即响应报价＜全部通过符合性审查供应商响应报价平均值×50%； </w:t>
            </w:r>
          </w:p>
          <w:p w14:paraId="24CABB42">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cs="宋体"/>
                <w:color w:val="auto"/>
                <w:sz w:val="21"/>
                <w:szCs w:val="21"/>
                <w:lang w:eastAsia="zh-CN"/>
              </w:rPr>
              <w:t>（</w:t>
            </w:r>
            <w:r>
              <w:rPr>
                <w:rFonts w:hint="eastAsia" w:ascii="宋体" w:hAnsi="宋体" w:eastAsia="宋体" w:cs="宋体"/>
                <w:color w:val="auto"/>
                <w:sz w:val="21"/>
                <w:szCs w:val="21"/>
                <w:lang w:eastAsia="en-US"/>
              </w:rPr>
              <w:t xml:space="preserve">2）响应报价低于通过符合性审查的次低报价供应商响应报价 50%的，即响应报价＜通过符合性审查的次低报价供应商响应报价×50%； </w:t>
            </w:r>
          </w:p>
          <w:p w14:paraId="7898B15F">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cs="宋体"/>
                <w:color w:val="auto"/>
                <w:sz w:val="21"/>
                <w:szCs w:val="21"/>
                <w:lang w:eastAsia="zh-CN"/>
              </w:rPr>
              <w:t>（</w:t>
            </w:r>
            <w:r>
              <w:rPr>
                <w:rFonts w:hint="eastAsia" w:ascii="宋体" w:hAnsi="宋体" w:eastAsia="宋体" w:cs="宋体"/>
                <w:color w:val="auto"/>
                <w:sz w:val="21"/>
                <w:szCs w:val="21"/>
                <w:lang w:eastAsia="en-US"/>
              </w:rPr>
              <w:t xml:space="preserve">3）响应报价低于采购项目最高限价 </w:t>
            </w:r>
            <w:r>
              <w:rPr>
                <w:rFonts w:hint="eastAsia" w:cs="宋体"/>
                <w:color w:val="auto"/>
                <w:sz w:val="21"/>
                <w:szCs w:val="21"/>
                <w:lang w:val="en-US" w:eastAsia="zh-CN"/>
              </w:rPr>
              <w:t>6</w:t>
            </w:r>
            <w:r>
              <w:rPr>
                <w:rFonts w:hint="eastAsia" w:ascii="宋体" w:hAnsi="宋体" w:eastAsia="宋体" w:cs="宋体"/>
                <w:color w:val="auto"/>
                <w:sz w:val="21"/>
                <w:szCs w:val="21"/>
                <w:lang w:eastAsia="en-US"/>
              </w:rPr>
              <w:t>5%的，即响应报价＜采购项目最高限价×</w:t>
            </w:r>
            <w:r>
              <w:rPr>
                <w:rFonts w:hint="eastAsia" w:cs="宋体"/>
                <w:color w:val="auto"/>
                <w:sz w:val="21"/>
                <w:szCs w:val="21"/>
                <w:lang w:val="en-US" w:eastAsia="zh-CN"/>
              </w:rPr>
              <w:t>6</w:t>
            </w:r>
            <w:r>
              <w:rPr>
                <w:rFonts w:hint="eastAsia" w:ascii="宋体" w:hAnsi="宋体" w:eastAsia="宋体" w:cs="宋体"/>
                <w:color w:val="auto"/>
                <w:sz w:val="21"/>
                <w:szCs w:val="21"/>
                <w:lang w:eastAsia="en-US"/>
              </w:rPr>
              <w:t xml:space="preserve">5%； </w:t>
            </w:r>
          </w:p>
          <w:p w14:paraId="79566C21">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cs="宋体"/>
                <w:color w:val="auto"/>
                <w:sz w:val="21"/>
                <w:szCs w:val="21"/>
                <w:lang w:eastAsia="zh-CN"/>
              </w:rPr>
              <w:t>（</w:t>
            </w:r>
            <w:r>
              <w:rPr>
                <w:rFonts w:hint="eastAsia" w:ascii="宋体" w:hAnsi="宋体" w:eastAsia="宋体" w:cs="宋体"/>
                <w:color w:val="auto"/>
                <w:sz w:val="21"/>
                <w:szCs w:val="21"/>
                <w:lang w:eastAsia="en-US"/>
              </w:rPr>
              <w:t xml:space="preserve">4）磋商小组基于专业判断，认为供应商报价过低，有可能影响产品质量或者不能诚信履约的其他情形。 </w:t>
            </w:r>
          </w:p>
          <w:p w14:paraId="41AE7E7C">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采购人可以结合具体项目实际情况，提高上述第 1 项至第 3 项中启动异常低价响应审查的数值标准，但是最高不得超过 65%。 </w:t>
            </w:r>
          </w:p>
          <w:p w14:paraId="7C8C65F6">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注：①磋商小组启动异常低价响应审查后，属于前述第 1 项至第 4 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项情形，供应商已随响应文件一并提交相关书面说明及必要的证明材料的，在评审现场可不再重复提交。 </w:t>
            </w:r>
          </w:p>
          <w:p w14:paraId="516BE4CB">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②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 </w:t>
            </w:r>
          </w:p>
          <w:p w14:paraId="30E9C42F">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③采购人、采购代理机构应当为磋商小组在评审现场及时获取同类项目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5587857B">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④异常低价响应审查的启动原因、审查意见和审查结果应当在评审报告中记录，并随供应商提供的相关书面说明及证明材料，以及磋商小组有关互联网浏览、查询历史一并归档。 </w:t>
            </w:r>
          </w:p>
          <w:p w14:paraId="464CCA32">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 xml:space="preserve">⑤上述第（1）项数值计算：涉及总价、单价的精确到“分”并四舍五入，涉及费率的精确到小数点后两位，第三位四舍五入（例：如平均值为 123.456 元，即为 123.46 元；如平均值为 80.126%，即为 80.13%）。 </w:t>
            </w:r>
          </w:p>
          <w:p w14:paraId="1CF386C8">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⑥上述第（1）项至第（2）项中的供应商响应报价为最后承诺报价。</w:t>
            </w:r>
          </w:p>
        </w:tc>
      </w:tr>
      <w:tr w14:paraId="4D340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jc w:val="center"/>
        </w:trPr>
        <w:tc>
          <w:tcPr>
            <w:tcW w:w="1003" w:type="dxa"/>
            <w:shd w:val="clear" w:color="auto" w:fill="auto"/>
            <w:vAlign w:val="center"/>
          </w:tcPr>
          <w:p w14:paraId="692B2987">
            <w:pPr>
              <w:pStyle w:val="37"/>
              <w:spacing w:before="19" w:line="360" w:lineRule="auto"/>
              <w:jc w:val="center"/>
              <w:rPr>
                <w:rFonts w:hint="default"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cs="宋体"/>
                <w:color w:val="auto"/>
                <w:sz w:val="21"/>
                <w:szCs w:val="21"/>
                <w:lang w:val="en-US" w:eastAsia="zh-CN"/>
              </w:rPr>
              <w:t>6</w:t>
            </w:r>
          </w:p>
        </w:tc>
        <w:tc>
          <w:tcPr>
            <w:tcW w:w="1853" w:type="dxa"/>
            <w:shd w:val="clear" w:color="auto" w:fill="auto"/>
            <w:vAlign w:val="center"/>
          </w:tcPr>
          <w:p w14:paraId="7738E09E">
            <w:pPr>
              <w:pStyle w:val="37"/>
              <w:spacing w:before="19" w:line="360" w:lineRule="auto"/>
              <w:ind w:left="107" w:leftChars="0"/>
              <w:jc w:val="center"/>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其他补充说明</w:t>
            </w:r>
          </w:p>
        </w:tc>
        <w:tc>
          <w:tcPr>
            <w:tcW w:w="5735" w:type="dxa"/>
            <w:shd w:val="clear" w:color="auto" w:fill="auto"/>
            <w:vAlign w:val="center"/>
          </w:tcPr>
          <w:p w14:paraId="25BBBEE4">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val="en-US" w:eastAsia="zh-CN"/>
              </w:rPr>
              <w:t>无</w:t>
            </w:r>
            <w:r>
              <w:rPr>
                <w:rFonts w:hint="eastAsia" w:ascii="宋体" w:hAnsi="宋体" w:eastAsia="宋体" w:cs="宋体"/>
                <w:color w:val="auto"/>
                <w:sz w:val="21"/>
                <w:szCs w:val="21"/>
                <w:lang w:eastAsia="en-US"/>
              </w:rPr>
              <w:t>效标条款：</w:t>
            </w:r>
          </w:p>
          <w:p w14:paraId="7D883F41">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1）串通响应或弄虚作假或有其他违法行为的。</w:t>
            </w:r>
          </w:p>
          <w:p w14:paraId="132A934E">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串通响应行为是指：</w:t>
            </w:r>
          </w:p>
          <w:p w14:paraId="2ECBF920">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（a）不同供应商的响应文件内容存在非正常一致的；</w:t>
            </w:r>
          </w:p>
          <w:p w14:paraId="2EF9BE53">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（b）不同供应商的响应报价或报价组成异常一致或呈规律性变化的；</w:t>
            </w:r>
          </w:p>
          <w:p w14:paraId="3648004F">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（c）不同供应商委托同一人响应；</w:t>
            </w:r>
          </w:p>
          <w:p w14:paraId="7F66A8EA">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（d）不同供应商的响应文件载明的项目管理班子成员出现同一人的；</w:t>
            </w:r>
          </w:p>
          <w:p w14:paraId="1A9209AD">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（e）不同供应商的响应文件相互混装的；</w:t>
            </w:r>
          </w:p>
          <w:p w14:paraId="1422E9FC">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（f）不同供应商的响应文件由同一单位或同一人编制的；</w:t>
            </w:r>
          </w:p>
          <w:p w14:paraId="5BE2CF14">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（g）不同供应商聘请同一人或同一中介机构为其响应提供技术或经济咨询服务的；</w:t>
            </w:r>
          </w:p>
          <w:p w14:paraId="05F81BE6">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2）逾期送达的响应文件；</w:t>
            </w:r>
          </w:p>
          <w:p w14:paraId="2C5D95DD">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3）供应商未依时提交磋商保证金或金额不足的；</w:t>
            </w:r>
          </w:p>
          <w:p w14:paraId="6F6A8143">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4）响应文件有关内容未按规定加盖供应商印章或未经法定代表人或其委托代理人签 字或盖章的；由委托代理人签字或盖章的，但未随响应文件一起提交有效的“授权委托书”原件的；</w:t>
            </w:r>
          </w:p>
          <w:p w14:paraId="6A637197">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5）响应文件份数、装订、密封和标记不符合竞争性磋商文件要求的；响应文件未胶装的。</w:t>
            </w:r>
          </w:p>
          <w:p w14:paraId="52BF475B">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6）供应商在一份响应文件中，报有两个或多个报价，且未书面声明以哪个报价为准；</w:t>
            </w:r>
          </w:p>
          <w:p w14:paraId="4275FB12">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7）不按磋商小组要求澄清、说明或补正的。</w:t>
            </w:r>
          </w:p>
          <w:p w14:paraId="1ADF65B2">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8） 响应文件中的报价表及其它内容相应位置处没有签字、盖章的。</w:t>
            </w:r>
          </w:p>
          <w:p w14:paraId="6CA4A7B1">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9）响应文件中响应报价、服务期或其它实质性要求不能满足竞争性磋商文件要求,或作出的承诺与竞争性磋商文件中提供的磋商申请及声明样本中相关内容相抵触或有遗漏的。</w:t>
            </w:r>
          </w:p>
          <w:p w14:paraId="0012462C">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10）未按规定的格式填写，实质性内容不全或关键字迹模糊、无法辨认的。</w:t>
            </w:r>
          </w:p>
          <w:p w14:paraId="1CA4FAE6">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11） 供应商递交两份或多份内容不同的响应文件；。</w:t>
            </w:r>
          </w:p>
          <w:p w14:paraId="797ACD7B">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12）响应报价高于最高响应上限的。</w:t>
            </w:r>
          </w:p>
          <w:p w14:paraId="7354DFBE">
            <w:pPr>
              <w:pStyle w:val="37"/>
              <w:tabs>
                <w:tab w:val="left" w:pos="710"/>
              </w:tabs>
              <w:spacing w:line="360" w:lineRule="auto"/>
              <w:ind w:left="108" w:right="-29"/>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13）响应文件中存在采购人不能接受的其它实质性条件。</w:t>
            </w:r>
          </w:p>
          <w:p w14:paraId="19A9DD92">
            <w:pPr>
              <w:pStyle w:val="37"/>
              <w:tabs>
                <w:tab w:val="left" w:pos="710"/>
              </w:tabs>
              <w:spacing w:line="360" w:lineRule="auto"/>
              <w:ind w:left="108" w:leftChars="0" w:right="-29" w:rightChars="0"/>
              <w:jc w:val="left"/>
              <w:rPr>
                <w:rFonts w:hint="eastAsia" w:ascii="宋体" w:hAnsi="宋体" w:eastAsia="宋体" w:cs="宋体"/>
                <w:color w:val="auto"/>
                <w:sz w:val="21"/>
                <w:szCs w:val="21"/>
                <w:lang w:eastAsia="en-US"/>
              </w:rPr>
            </w:pPr>
            <w:r>
              <w:rPr>
                <w:rFonts w:hint="eastAsia" w:ascii="宋体" w:hAnsi="宋体" w:eastAsia="宋体" w:cs="宋体"/>
                <w:color w:val="auto"/>
                <w:sz w:val="21"/>
                <w:szCs w:val="21"/>
                <w:lang w:eastAsia="en-US"/>
              </w:rPr>
              <w:t>14）法律、法规规定的其它情形。</w:t>
            </w:r>
          </w:p>
        </w:tc>
      </w:tr>
    </w:tbl>
    <w:p w14:paraId="441A6EB1">
      <w:pPr>
        <w:rPr>
          <w:rFonts w:hint="eastAsia" w:ascii="宋体" w:hAnsi="宋体" w:eastAsia="宋体" w:cs="宋体"/>
          <w:color w:val="auto"/>
        </w:rPr>
      </w:pPr>
      <w:bookmarkStart w:id="44" w:name="_Toc1031"/>
      <w:bookmarkStart w:id="45" w:name="_Toc17965"/>
      <w:bookmarkStart w:id="46" w:name="_Toc487641630"/>
      <w:bookmarkStart w:id="47" w:name="_Toc487461251"/>
      <w:r>
        <w:rPr>
          <w:rFonts w:hint="eastAsia" w:ascii="宋体" w:hAnsi="宋体" w:eastAsia="宋体" w:cs="宋体"/>
          <w:color w:val="auto"/>
        </w:rPr>
        <w:br w:type="page"/>
      </w:r>
    </w:p>
    <w:p w14:paraId="742D7402">
      <w:pPr>
        <w:pStyle w:val="5"/>
        <w:spacing w:before="20" w:after="20" w:line="360" w:lineRule="auto"/>
        <w:ind w:firstLine="0"/>
        <w:jc w:val="center"/>
        <w:rPr>
          <w:rFonts w:hint="eastAsia" w:ascii="宋体" w:hAnsi="宋体" w:eastAsia="宋体" w:cs="宋体"/>
          <w:color w:val="auto"/>
        </w:rPr>
      </w:pPr>
      <w:r>
        <w:rPr>
          <w:rFonts w:hint="eastAsia" w:ascii="宋体" w:hAnsi="宋体" w:eastAsia="宋体" w:cs="宋体"/>
          <w:color w:val="auto"/>
        </w:rPr>
        <w:t>二、供应商须知</w:t>
      </w:r>
      <w:bookmarkEnd w:id="44"/>
      <w:bookmarkEnd w:id="45"/>
    </w:p>
    <w:p w14:paraId="74D862D4">
      <w:pPr>
        <w:pStyle w:val="6"/>
        <w:spacing w:before="20" w:after="20" w:line="360" w:lineRule="auto"/>
        <w:rPr>
          <w:rFonts w:hint="eastAsia" w:ascii="宋体" w:hAnsi="宋体" w:eastAsia="宋体" w:cs="宋体"/>
          <w:color w:val="auto"/>
          <w:sz w:val="28"/>
          <w:szCs w:val="28"/>
        </w:rPr>
      </w:pPr>
      <w:bookmarkStart w:id="48" w:name="_Hlt526418143"/>
      <w:bookmarkEnd w:id="48"/>
      <w:bookmarkStart w:id="49" w:name="_Hlt509650955"/>
      <w:bookmarkEnd w:id="49"/>
      <w:bookmarkStart w:id="50" w:name="_Hlt509649998"/>
      <w:bookmarkEnd w:id="50"/>
      <w:bookmarkStart w:id="51" w:name="_Hlt509649722"/>
      <w:bookmarkEnd w:id="51"/>
      <w:bookmarkStart w:id="52" w:name="_Hlt509650126"/>
      <w:bookmarkEnd w:id="52"/>
      <w:bookmarkStart w:id="53" w:name="_Hlt509650686"/>
      <w:bookmarkEnd w:id="53"/>
      <w:bookmarkStart w:id="54" w:name="_Toc23999"/>
      <w:bookmarkStart w:id="55" w:name="_Toc23974"/>
      <w:bookmarkStart w:id="56" w:name="_Toc22351"/>
      <w:bookmarkStart w:id="57" w:name="_Toc448070712"/>
      <w:r>
        <w:rPr>
          <w:rFonts w:hint="eastAsia" w:ascii="宋体" w:hAnsi="宋体" w:eastAsia="宋体" w:cs="宋体"/>
          <w:color w:val="auto"/>
          <w:sz w:val="28"/>
          <w:szCs w:val="28"/>
        </w:rPr>
        <w:t>1．总  则</w:t>
      </w:r>
      <w:bookmarkEnd w:id="54"/>
      <w:bookmarkEnd w:id="55"/>
      <w:bookmarkEnd w:id="56"/>
      <w:bookmarkEnd w:id="57"/>
    </w:p>
    <w:p w14:paraId="354417C5">
      <w:pPr>
        <w:spacing w:line="440" w:lineRule="exact"/>
        <w:rPr>
          <w:rFonts w:hint="eastAsia" w:ascii="宋体" w:hAnsi="宋体" w:eastAsia="宋体" w:cs="宋体"/>
          <w:b/>
          <w:color w:val="auto"/>
          <w:sz w:val="24"/>
          <w:szCs w:val="24"/>
        </w:rPr>
      </w:pPr>
      <w:r>
        <w:rPr>
          <w:rFonts w:hint="eastAsia" w:ascii="宋体" w:hAnsi="宋体" w:eastAsia="宋体" w:cs="宋体"/>
          <w:color w:val="auto"/>
          <w:szCs w:val="21"/>
        </w:rPr>
        <w:t xml:space="preserve">   </w:t>
      </w:r>
      <w:r>
        <w:rPr>
          <w:rFonts w:hint="eastAsia" w:ascii="宋体" w:hAnsi="宋体" w:eastAsia="宋体" w:cs="宋体"/>
          <w:b/>
          <w:color w:val="auto"/>
          <w:szCs w:val="21"/>
        </w:rPr>
        <w:t xml:space="preserve"> </w:t>
      </w:r>
      <w:r>
        <w:rPr>
          <w:rFonts w:hint="eastAsia" w:ascii="宋体" w:hAnsi="宋体" w:eastAsia="宋体" w:cs="宋体"/>
          <w:b/>
          <w:color w:val="auto"/>
          <w:sz w:val="24"/>
          <w:szCs w:val="24"/>
        </w:rPr>
        <w:t>1.1项目概况</w:t>
      </w:r>
    </w:p>
    <w:p w14:paraId="17AB4AA6">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1.1.1根据有关法律、法规和规章的规定，本采购项目已具备招标条件，现对本项目进行竞争性磋商。</w:t>
      </w:r>
    </w:p>
    <w:p w14:paraId="571C816E">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1.1.2本采购项目采购人：见供应商须知前附表。</w:t>
      </w:r>
    </w:p>
    <w:p w14:paraId="6000F0DF">
      <w:pPr>
        <w:spacing w:line="440" w:lineRule="exact"/>
        <w:rPr>
          <w:rFonts w:hint="eastAsia" w:ascii="宋体" w:hAnsi="宋体" w:eastAsia="宋体" w:cs="宋体"/>
          <w:b/>
          <w:bCs/>
          <w:color w:val="auto"/>
          <w:sz w:val="24"/>
          <w:szCs w:val="24"/>
        </w:rPr>
      </w:pPr>
      <w:r>
        <w:rPr>
          <w:rFonts w:hint="eastAsia" w:ascii="宋体" w:hAnsi="宋体" w:eastAsia="宋体" w:cs="宋体"/>
          <w:color w:val="auto"/>
          <w:sz w:val="24"/>
          <w:szCs w:val="24"/>
        </w:rPr>
        <w:t xml:space="preserve">    1.1.3本采购项目名称：见供应商须知前附表。</w:t>
      </w:r>
    </w:p>
    <w:p w14:paraId="795C6A54">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1.1.4本采购项目</w:t>
      </w:r>
      <w:r>
        <w:rPr>
          <w:rFonts w:hint="eastAsia" w:ascii="宋体" w:hAnsi="宋体" w:eastAsia="宋体" w:cs="宋体"/>
          <w:color w:val="auto"/>
          <w:sz w:val="24"/>
          <w:szCs w:val="24"/>
          <w:lang w:eastAsia="zh-CN"/>
        </w:rPr>
        <w:t>服务</w:t>
      </w:r>
      <w:r>
        <w:rPr>
          <w:rFonts w:hint="eastAsia" w:ascii="宋体" w:hAnsi="宋体" w:eastAsia="宋体" w:cs="宋体"/>
          <w:color w:val="auto"/>
          <w:sz w:val="24"/>
          <w:szCs w:val="24"/>
        </w:rPr>
        <w:t>地点：采购人指定的地方</w:t>
      </w:r>
    </w:p>
    <w:p w14:paraId="7BC55D35">
      <w:pPr>
        <w:spacing w:line="440" w:lineRule="exact"/>
        <w:ind w:firstLine="361" w:firstLineChars="150"/>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1.2资金来源和落实情况</w:t>
      </w:r>
    </w:p>
    <w:p w14:paraId="7C027540">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1.2.1本采购项目的资金来源：财政资金。</w:t>
      </w:r>
    </w:p>
    <w:p w14:paraId="25C14987">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1.2.2本采购项目的资金落实情况：已落实。</w:t>
      </w:r>
    </w:p>
    <w:p w14:paraId="117F91FB">
      <w:pPr>
        <w:spacing w:line="440" w:lineRule="exact"/>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1.3采购范围、最高响应上限、标段、</w:t>
      </w:r>
      <w:r>
        <w:rPr>
          <w:rFonts w:hint="eastAsia" w:ascii="宋体" w:hAnsi="宋体" w:eastAsia="宋体" w:cs="宋体"/>
          <w:b/>
          <w:color w:val="auto"/>
          <w:sz w:val="24"/>
          <w:szCs w:val="24"/>
          <w:lang w:val="en-US" w:eastAsia="zh-CN"/>
        </w:rPr>
        <w:t>服务</w:t>
      </w:r>
      <w:r>
        <w:rPr>
          <w:rFonts w:hint="eastAsia" w:ascii="宋体" w:hAnsi="宋体" w:eastAsia="宋体" w:cs="宋体"/>
          <w:b/>
          <w:color w:val="auto"/>
          <w:sz w:val="24"/>
          <w:szCs w:val="24"/>
        </w:rPr>
        <w:t>期限和质量要求</w:t>
      </w:r>
    </w:p>
    <w:p w14:paraId="67A377BE">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1.3.1本次采购范围：见供应商须知前附表。</w:t>
      </w:r>
    </w:p>
    <w:p w14:paraId="3A38167B">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1.3.2最高投标上限：见供应商须知前附表说明。</w:t>
      </w:r>
    </w:p>
    <w:p w14:paraId="160FD806">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 xml:space="preserve"> 1.3.3 本采购项目的标段划分：见供应商须知前附表。</w:t>
      </w:r>
    </w:p>
    <w:p w14:paraId="4987D6EE">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1.3.4 本采购项目的</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期限：见供应商须知前附表。</w:t>
      </w:r>
    </w:p>
    <w:p w14:paraId="37378E26">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1.3.5 本采购项目的质量要求：见供应商须知前附表。</w:t>
      </w:r>
    </w:p>
    <w:p w14:paraId="1B541D05">
      <w:pPr>
        <w:spacing w:line="440" w:lineRule="exact"/>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1.4供应商资格要求</w:t>
      </w:r>
    </w:p>
    <w:p w14:paraId="6FF2D404">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 xml:space="preserve"> 1.4.1 本项目资格、能力及信誉：见供应商须知前附表。</w:t>
      </w:r>
    </w:p>
    <w:p w14:paraId="71E72A03">
      <w:pPr>
        <w:spacing w:line="440" w:lineRule="exact"/>
        <w:ind w:firstLine="487" w:firstLineChars="203"/>
        <w:rPr>
          <w:rFonts w:hint="eastAsia" w:ascii="宋体" w:hAnsi="宋体" w:eastAsia="宋体" w:cs="宋体"/>
          <w:color w:val="auto"/>
          <w:sz w:val="24"/>
          <w:szCs w:val="24"/>
        </w:rPr>
      </w:pPr>
      <w:r>
        <w:rPr>
          <w:rFonts w:hint="eastAsia" w:ascii="宋体" w:hAnsi="宋体" w:eastAsia="宋体" w:cs="宋体"/>
          <w:color w:val="auto"/>
          <w:sz w:val="24"/>
          <w:szCs w:val="24"/>
        </w:rPr>
        <w:t>1.4.2本项目是否接受联合体：见供应商须知前附表。</w:t>
      </w:r>
    </w:p>
    <w:p w14:paraId="119352CF">
      <w:pPr>
        <w:spacing w:line="440" w:lineRule="exact"/>
        <w:ind w:firstLine="473" w:firstLineChars="203"/>
        <w:rPr>
          <w:rFonts w:hint="eastAsia" w:ascii="宋体" w:hAnsi="宋体" w:eastAsia="宋体" w:cs="宋体"/>
          <w:b/>
          <w:bCs/>
          <w:color w:val="auto"/>
          <w:spacing w:val="-4"/>
          <w:kern w:val="0"/>
          <w:sz w:val="24"/>
          <w:szCs w:val="24"/>
        </w:rPr>
      </w:pPr>
      <w:r>
        <w:rPr>
          <w:rFonts w:hint="eastAsia" w:ascii="宋体" w:hAnsi="宋体" w:eastAsia="宋体" w:cs="宋体"/>
          <w:b/>
          <w:bCs/>
          <w:color w:val="auto"/>
          <w:spacing w:val="-4"/>
          <w:kern w:val="0"/>
          <w:sz w:val="24"/>
          <w:szCs w:val="24"/>
        </w:rPr>
        <w:t>1.4.3供应商不得存在下列情形之一：</w:t>
      </w:r>
    </w:p>
    <w:p w14:paraId="5F65740A">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(1)法定代表人（负责人）为同一人。</w:t>
      </w:r>
    </w:p>
    <w:p w14:paraId="3C319BC9">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(2)为本项目前期准备提供设计或咨询服务的。</w:t>
      </w:r>
    </w:p>
    <w:p w14:paraId="5DADA6E1">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(3)为本项目的代建人。</w:t>
      </w:r>
    </w:p>
    <w:p w14:paraId="6D3D49A0">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(4)为本项目提供招标代理服务的。</w:t>
      </w:r>
    </w:p>
    <w:p w14:paraId="71669B3F">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(5)与本项目的代建人或采购代理机构同为一个法定代表人（负责人）的。</w:t>
      </w:r>
    </w:p>
    <w:p w14:paraId="1BE9A72E">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(6)与本项目的代建人或采购代理机构相互控股或参股的。</w:t>
      </w:r>
    </w:p>
    <w:p w14:paraId="7DFFC228">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(7)与本项目的代建人或采购代理机构相互任职或工作的。</w:t>
      </w:r>
    </w:p>
    <w:p w14:paraId="7110EB8B">
      <w:pPr>
        <w:tabs>
          <w:tab w:val="left" w:pos="7560"/>
        </w:tabs>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(8)被责令停业的。</w:t>
      </w:r>
    </w:p>
    <w:p w14:paraId="198A096E">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(9)被暂停或取消响应资格的。</w:t>
      </w:r>
    </w:p>
    <w:p w14:paraId="774F1BCD">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(10)财产被接管或冻结的。</w:t>
      </w:r>
    </w:p>
    <w:p w14:paraId="734590BB">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(11)在最近三年内有严重违约或重大工程质量问题的。</w:t>
      </w:r>
    </w:p>
    <w:p w14:paraId="6EB4665A">
      <w:pPr>
        <w:spacing w:line="440" w:lineRule="exact"/>
        <w:ind w:firstLine="542" w:firstLineChars="225"/>
        <w:rPr>
          <w:rFonts w:hint="eastAsia" w:ascii="宋体" w:hAnsi="宋体" w:eastAsia="宋体" w:cs="宋体"/>
          <w:color w:val="auto"/>
          <w:sz w:val="24"/>
          <w:szCs w:val="24"/>
        </w:rPr>
      </w:pPr>
      <w:r>
        <w:rPr>
          <w:rFonts w:hint="eastAsia" w:ascii="宋体" w:hAnsi="宋体" w:eastAsia="宋体" w:cs="宋体"/>
          <w:b/>
          <w:color w:val="auto"/>
          <w:sz w:val="24"/>
          <w:szCs w:val="24"/>
        </w:rPr>
        <w:t>1.5费用承担</w:t>
      </w:r>
    </w:p>
    <w:p w14:paraId="275E18E6">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供应商是否愿意参与本次响应活动完全是自主决定的，应自行承担与参加本次响应活动有关的一切费用。不论响应的结果如何，在任何情况下，采购人均无义务和责任承担这些费用。</w:t>
      </w:r>
    </w:p>
    <w:p w14:paraId="29A76E6B">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供应商应承担下述费用：供应商准备和参加响应活动发生的一切费用。</w:t>
      </w:r>
    </w:p>
    <w:p w14:paraId="2916E571">
      <w:pPr>
        <w:spacing w:line="440" w:lineRule="exact"/>
        <w:ind w:firstLine="542" w:firstLineChars="225"/>
        <w:rPr>
          <w:rFonts w:hint="eastAsia" w:ascii="宋体" w:hAnsi="宋体" w:eastAsia="宋体" w:cs="宋体"/>
          <w:color w:val="auto"/>
          <w:sz w:val="24"/>
          <w:szCs w:val="24"/>
        </w:rPr>
      </w:pPr>
      <w:r>
        <w:rPr>
          <w:rFonts w:hint="eastAsia" w:ascii="宋体" w:hAnsi="宋体" w:eastAsia="宋体" w:cs="宋体"/>
          <w:b/>
          <w:color w:val="auto"/>
          <w:sz w:val="24"/>
          <w:szCs w:val="24"/>
        </w:rPr>
        <w:t>1.6保密</w:t>
      </w:r>
    </w:p>
    <w:p w14:paraId="4AF62208">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参与采购响应活动的各方应对竞争性磋商文件和响应文件中的商业和技术等秘密保密，违者应对由此造成的后果承担法律责任。</w:t>
      </w:r>
    </w:p>
    <w:p w14:paraId="6D5E3214">
      <w:pPr>
        <w:spacing w:line="440" w:lineRule="exact"/>
        <w:ind w:firstLine="540" w:firstLineChars="224"/>
        <w:rPr>
          <w:rFonts w:hint="eastAsia" w:ascii="宋体" w:hAnsi="宋体" w:eastAsia="宋体" w:cs="宋体"/>
          <w:b/>
          <w:color w:val="auto"/>
          <w:sz w:val="24"/>
          <w:szCs w:val="24"/>
        </w:rPr>
      </w:pPr>
      <w:r>
        <w:rPr>
          <w:rFonts w:hint="eastAsia" w:ascii="宋体" w:hAnsi="宋体" w:eastAsia="宋体" w:cs="宋体"/>
          <w:b/>
          <w:color w:val="auto"/>
          <w:sz w:val="24"/>
          <w:szCs w:val="24"/>
        </w:rPr>
        <w:t>1.7语言文字</w:t>
      </w:r>
    </w:p>
    <w:p w14:paraId="09FE8BB6">
      <w:pPr>
        <w:spacing w:line="440" w:lineRule="exact"/>
        <w:ind w:firstLine="537" w:firstLineChars="224"/>
        <w:rPr>
          <w:rFonts w:hint="eastAsia" w:ascii="宋体" w:hAnsi="宋体" w:eastAsia="宋体" w:cs="宋体"/>
          <w:color w:val="auto"/>
          <w:sz w:val="24"/>
          <w:szCs w:val="24"/>
        </w:rPr>
      </w:pPr>
      <w:r>
        <w:rPr>
          <w:rFonts w:hint="eastAsia" w:ascii="宋体" w:hAnsi="宋体" w:eastAsia="宋体" w:cs="宋体"/>
          <w:color w:val="auto"/>
          <w:sz w:val="24"/>
          <w:szCs w:val="24"/>
        </w:rPr>
        <w:t>响应文件使用的语言文字均须为中文，专用术语使用外文的，应附有中文注释。</w:t>
      </w:r>
    </w:p>
    <w:p w14:paraId="4507B6CE">
      <w:pPr>
        <w:spacing w:line="440" w:lineRule="exact"/>
        <w:ind w:firstLine="540" w:firstLineChars="224"/>
        <w:rPr>
          <w:rFonts w:hint="eastAsia" w:ascii="宋体" w:hAnsi="宋体" w:eastAsia="宋体" w:cs="宋体"/>
          <w:color w:val="auto"/>
          <w:sz w:val="24"/>
          <w:szCs w:val="24"/>
        </w:rPr>
      </w:pPr>
      <w:r>
        <w:rPr>
          <w:rFonts w:hint="eastAsia" w:ascii="宋体" w:hAnsi="宋体" w:eastAsia="宋体" w:cs="宋体"/>
          <w:b/>
          <w:color w:val="auto"/>
          <w:sz w:val="24"/>
          <w:szCs w:val="24"/>
        </w:rPr>
        <w:t>1.8计量单位</w:t>
      </w:r>
    </w:p>
    <w:p w14:paraId="1F714405">
      <w:pPr>
        <w:spacing w:line="440" w:lineRule="exact"/>
        <w:ind w:firstLine="537" w:firstLineChars="224"/>
        <w:rPr>
          <w:rFonts w:hint="eastAsia" w:ascii="宋体" w:hAnsi="宋体" w:eastAsia="宋体" w:cs="宋体"/>
          <w:color w:val="auto"/>
          <w:sz w:val="24"/>
          <w:szCs w:val="24"/>
        </w:rPr>
      </w:pPr>
      <w:r>
        <w:rPr>
          <w:rFonts w:hint="eastAsia" w:ascii="宋体" w:hAnsi="宋体" w:eastAsia="宋体" w:cs="宋体"/>
          <w:color w:val="auto"/>
          <w:sz w:val="24"/>
          <w:szCs w:val="24"/>
        </w:rPr>
        <w:t>所有计量均采用中华人民共和国法定计量单位。</w:t>
      </w:r>
    </w:p>
    <w:p w14:paraId="35883CEA">
      <w:pPr>
        <w:spacing w:line="440" w:lineRule="exact"/>
        <w:ind w:firstLine="540" w:firstLineChars="224"/>
        <w:rPr>
          <w:rFonts w:hint="eastAsia" w:ascii="宋体" w:hAnsi="宋体" w:eastAsia="宋体" w:cs="宋体"/>
          <w:b/>
          <w:color w:val="auto"/>
          <w:sz w:val="24"/>
          <w:szCs w:val="24"/>
        </w:rPr>
      </w:pPr>
      <w:r>
        <w:rPr>
          <w:rFonts w:hint="eastAsia" w:ascii="宋体" w:hAnsi="宋体" w:eastAsia="宋体" w:cs="宋体"/>
          <w:b/>
          <w:color w:val="auto"/>
          <w:sz w:val="24"/>
          <w:szCs w:val="24"/>
        </w:rPr>
        <w:t>1.9踏勘现场</w:t>
      </w:r>
    </w:p>
    <w:p w14:paraId="48324EFE">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本项目不组织踏勘现场。但供应商有必要自行踏勘现场，以便于更好的熟悉采购内容，更好的结合现场实际情况编制响应文件。</w:t>
      </w:r>
    </w:p>
    <w:p w14:paraId="547318D6">
      <w:pPr>
        <w:spacing w:line="440" w:lineRule="exact"/>
        <w:ind w:firstLine="542" w:firstLineChars="225"/>
        <w:rPr>
          <w:rFonts w:hint="eastAsia" w:ascii="宋体" w:hAnsi="宋体" w:eastAsia="宋体" w:cs="宋体"/>
          <w:color w:val="auto"/>
          <w:sz w:val="24"/>
          <w:szCs w:val="24"/>
        </w:rPr>
      </w:pPr>
      <w:r>
        <w:rPr>
          <w:rFonts w:hint="eastAsia" w:ascii="宋体" w:hAnsi="宋体" w:eastAsia="宋体" w:cs="宋体"/>
          <w:b/>
          <w:color w:val="auto"/>
          <w:sz w:val="24"/>
          <w:szCs w:val="24"/>
        </w:rPr>
        <w:t>1.10响应预备会</w:t>
      </w:r>
    </w:p>
    <w:p w14:paraId="0FF87B32">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本项目不组织召开响应预备会。</w:t>
      </w:r>
    </w:p>
    <w:p w14:paraId="6B240C90">
      <w:pPr>
        <w:spacing w:line="440" w:lineRule="exact"/>
        <w:ind w:firstLine="542" w:firstLineChars="225"/>
        <w:rPr>
          <w:rFonts w:hint="eastAsia" w:ascii="宋体" w:hAnsi="宋体" w:eastAsia="宋体" w:cs="宋体"/>
          <w:color w:val="auto"/>
          <w:sz w:val="24"/>
          <w:szCs w:val="24"/>
        </w:rPr>
      </w:pPr>
      <w:r>
        <w:rPr>
          <w:rFonts w:hint="eastAsia" w:ascii="宋体" w:hAnsi="宋体" w:eastAsia="宋体" w:cs="宋体"/>
          <w:b/>
          <w:color w:val="auto"/>
          <w:sz w:val="24"/>
          <w:szCs w:val="24"/>
        </w:rPr>
        <w:t>1.11分包</w:t>
      </w:r>
    </w:p>
    <w:p w14:paraId="5FAD7A09">
      <w:pPr>
        <w:spacing w:line="440" w:lineRule="exact"/>
        <w:ind w:firstLine="540" w:firstLineChars="225"/>
        <w:rPr>
          <w:rFonts w:hint="eastAsia" w:ascii="宋体" w:hAnsi="宋体" w:eastAsia="宋体" w:cs="宋体"/>
          <w:color w:val="auto"/>
          <w:sz w:val="24"/>
          <w:szCs w:val="24"/>
        </w:rPr>
      </w:pPr>
      <w:r>
        <w:rPr>
          <w:rFonts w:hint="eastAsia" w:ascii="宋体" w:hAnsi="宋体" w:eastAsia="宋体" w:cs="宋体"/>
          <w:color w:val="auto"/>
          <w:sz w:val="24"/>
          <w:szCs w:val="24"/>
        </w:rPr>
        <w:t>本项目允许分包。</w:t>
      </w:r>
    </w:p>
    <w:p w14:paraId="342D9BC0">
      <w:pPr>
        <w:spacing w:line="440" w:lineRule="exact"/>
        <w:ind w:firstLine="542" w:firstLineChars="225"/>
        <w:rPr>
          <w:rFonts w:hint="eastAsia" w:ascii="宋体" w:hAnsi="宋体" w:eastAsia="宋体" w:cs="宋体"/>
          <w:color w:val="auto"/>
          <w:szCs w:val="21"/>
        </w:rPr>
      </w:pPr>
      <w:r>
        <w:rPr>
          <w:rFonts w:hint="eastAsia" w:ascii="宋体" w:hAnsi="宋体" w:eastAsia="宋体" w:cs="宋体"/>
          <w:b/>
          <w:color w:val="auto"/>
          <w:sz w:val="24"/>
          <w:szCs w:val="24"/>
        </w:rPr>
        <w:t>1．12</w:t>
      </w:r>
      <w:r>
        <w:rPr>
          <w:rFonts w:hint="eastAsia" w:ascii="宋体" w:hAnsi="宋体" w:eastAsia="宋体" w:cs="宋体"/>
          <w:color w:val="auto"/>
          <w:sz w:val="24"/>
          <w:szCs w:val="24"/>
        </w:rPr>
        <w:t>供应商应认真阅读竞争性磋商文件的全部内容，明确其所称全部事项、格式、条款和规范等各项具体要求。如果没有按照竞争性磋商文件要求提交全部资料，或没有对响应文件做出实质性响应，根据有关条款规定，其响应有可能被拒绝，其风险应由供应商自行承担。</w:t>
      </w:r>
    </w:p>
    <w:p w14:paraId="5CF24699">
      <w:pPr>
        <w:pStyle w:val="6"/>
        <w:spacing w:before="20" w:after="20" w:line="360" w:lineRule="auto"/>
        <w:rPr>
          <w:rFonts w:hint="eastAsia" w:ascii="宋体" w:hAnsi="宋体" w:eastAsia="宋体" w:cs="宋体"/>
          <w:color w:val="auto"/>
          <w:sz w:val="28"/>
          <w:szCs w:val="28"/>
        </w:rPr>
      </w:pPr>
      <w:bookmarkStart w:id="58" w:name="_Toc22226"/>
      <w:bookmarkStart w:id="59" w:name="_Toc25505"/>
      <w:bookmarkStart w:id="60" w:name="_Toc3582"/>
      <w:bookmarkStart w:id="61" w:name="_Toc448070713"/>
      <w:r>
        <w:rPr>
          <w:rFonts w:hint="eastAsia" w:ascii="宋体" w:hAnsi="宋体" w:eastAsia="宋体" w:cs="宋体"/>
          <w:color w:val="auto"/>
          <w:sz w:val="28"/>
          <w:szCs w:val="28"/>
        </w:rPr>
        <w:t>2．竞争性磋商文件</w:t>
      </w:r>
      <w:bookmarkEnd w:id="58"/>
      <w:bookmarkEnd w:id="59"/>
      <w:bookmarkEnd w:id="60"/>
      <w:bookmarkEnd w:id="61"/>
    </w:p>
    <w:p w14:paraId="7E7486AC">
      <w:pPr>
        <w:spacing w:line="440" w:lineRule="exact"/>
        <w:rPr>
          <w:rFonts w:hint="eastAsia" w:ascii="宋体" w:hAnsi="宋体" w:eastAsia="宋体" w:cs="宋体"/>
          <w:b/>
          <w:color w:val="auto"/>
          <w:sz w:val="24"/>
          <w:szCs w:val="24"/>
        </w:rPr>
      </w:pPr>
      <w:r>
        <w:rPr>
          <w:rFonts w:hint="eastAsia" w:ascii="宋体" w:hAnsi="宋体" w:eastAsia="宋体" w:cs="宋体"/>
          <w:color w:val="auto"/>
          <w:szCs w:val="21"/>
        </w:rPr>
        <w:t xml:space="preserve">   </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2.1竞争性磋商文件的组成</w:t>
      </w:r>
    </w:p>
    <w:p w14:paraId="134FE226">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竞争性磋商文件包括：</w:t>
      </w:r>
    </w:p>
    <w:p w14:paraId="4D442504">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(1）竞争性磋商公告 </w:t>
      </w:r>
    </w:p>
    <w:p w14:paraId="3E91892B">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(2）供应商须知及前附表</w:t>
      </w:r>
    </w:p>
    <w:p w14:paraId="1EA12CB0">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(3）磋商办法</w:t>
      </w:r>
    </w:p>
    <w:p w14:paraId="05116EED">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(4）采购需求</w:t>
      </w:r>
    </w:p>
    <w:p w14:paraId="176FB63F">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(5）响应文件格式</w:t>
      </w:r>
    </w:p>
    <w:p w14:paraId="6AC20DE1">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根据本章第2.2 条和第2.3条对竞争性磋商文件所作的澄清、修改，构成竞争性磋商文件的组成部分。</w:t>
      </w:r>
    </w:p>
    <w:p w14:paraId="6B5D71F3">
      <w:pPr>
        <w:spacing w:line="440" w:lineRule="exact"/>
        <w:ind w:firstLine="540"/>
        <w:rPr>
          <w:rFonts w:hint="eastAsia" w:ascii="宋体" w:hAnsi="宋体" w:eastAsia="宋体" w:cs="宋体"/>
          <w:b/>
          <w:color w:val="auto"/>
          <w:sz w:val="24"/>
          <w:szCs w:val="24"/>
        </w:rPr>
      </w:pPr>
      <w:r>
        <w:rPr>
          <w:rFonts w:hint="eastAsia" w:ascii="宋体" w:hAnsi="宋体" w:eastAsia="宋体" w:cs="宋体"/>
          <w:b/>
          <w:color w:val="auto"/>
          <w:sz w:val="24"/>
          <w:szCs w:val="24"/>
        </w:rPr>
        <w:t>2.2竞争性磋商文件的澄清</w:t>
      </w:r>
    </w:p>
    <w:p w14:paraId="0ECE95B5">
      <w:pPr>
        <w:spacing w:line="44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2.2.1供应商应仔细阅读和检查竞争性磋商文件的全部内容。如发现缺页或附件不全，应及时向采购人提出，以便补齐。如有异议，应在供应商须知前附表规定的时间前以电子邮件形式要求采购人对竞争性磋商文件予以回复，提出异议时须注明项目名称。响应异议时间：响应截止时间</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个工作日前</w:t>
      </w:r>
      <w:r>
        <w:rPr>
          <w:rFonts w:hint="eastAsia" w:ascii="宋体" w:hAnsi="宋体" w:eastAsia="宋体" w:cs="宋体"/>
          <w:color w:val="auto"/>
          <w:sz w:val="24"/>
          <w:szCs w:val="24"/>
          <w:lang w:eastAsia="zh-CN"/>
        </w:rPr>
        <w:t>。</w:t>
      </w:r>
    </w:p>
    <w:p w14:paraId="2CD6349D">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2.2.2竞争性磋商文件的澄清在响应截止时间</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天前，以网上公布方式发布给所有潜在的供应商。如果澄清发出的时间距响应截止时间不足</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天，可能影响响应文件编制的，相应推迟响应截止时间。</w:t>
      </w:r>
    </w:p>
    <w:p w14:paraId="02F9AD59">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2.2.3所有领取竞争性磋商文件的供应商有义务在</w:t>
      </w:r>
      <w:r>
        <w:rPr>
          <w:rFonts w:hint="eastAsia" w:ascii="宋体" w:hAnsi="宋体" w:eastAsia="宋体" w:cs="宋体"/>
          <w:color w:val="auto"/>
          <w:sz w:val="24"/>
          <w:szCs w:val="24"/>
          <w:lang w:val="en-US" w:eastAsia="zh-CN"/>
        </w:rPr>
        <w:t>界首市城乡建设发展集团有限公司http://www.jscxjs.cn/</w:t>
      </w:r>
      <w:r>
        <w:rPr>
          <w:rFonts w:hint="eastAsia" w:ascii="宋体" w:hAnsi="宋体" w:eastAsia="宋体" w:cs="宋体"/>
          <w:color w:val="auto"/>
          <w:sz w:val="24"/>
          <w:szCs w:val="24"/>
        </w:rPr>
        <w:t>网</w:t>
      </w:r>
      <w:r>
        <w:rPr>
          <w:rFonts w:hint="eastAsia" w:ascii="宋体" w:hAnsi="宋体" w:eastAsia="宋体" w:cs="宋体"/>
          <w:color w:val="auto"/>
          <w:sz w:val="24"/>
          <w:szCs w:val="24"/>
          <w:lang w:val="en-US" w:eastAsia="zh-CN"/>
        </w:rPr>
        <w:t>站</w:t>
      </w:r>
      <w:r>
        <w:rPr>
          <w:rFonts w:hint="eastAsia" w:ascii="宋体" w:hAnsi="宋体" w:eastAsia="宋体" w:cs="宋体"/>
          <w:color w:val="auto"/>
          <w:sz w:val="24"/>
          <w:szCs w:val="24"/>
        </w:rPr>
        <w:t>上自行查询资料，无需以书面形式回复。采购代理机构将不再另行通知各供应商。供应商对竞争性磋商文件的澄清、修改未能及时查询的，由此引起的一切责任均由供应商自行负责。</w:t>
      </w:r>
    </w:p>
    <w:p w14:paraId="63A1BFAA">
      <w:pPr>
        <w:spacing w:line="44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2.3竞争性磋商文件的修改</w:t>
      </w:r>
    </w:p>
    <w:p w14:paraId="449B98F3">
      <w:pPr>
        <w:spacing w:line="44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2.3.1采购人对已发出的竞争性磋商文件进行的必要澄清或者修改的内容可能影响磋商响应文件编制的,应在响应截止</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日前，在</w:t>
      </w:r>
      <w:r>
        <w:rPr>
          <w:rFonts w:hint="eastAsia" w:ascii="宋体" w:hAnsi="宋体" w:eastAsia="宋体" w:cs="宋体"/>
          <w:color w:val="auto"/>
          <w:sz w:val="24"/>
          <w:szCs w:val="24"/>
          <w:lang w:val="en-US" w:eastAsia="zh-CN"/>
        </w:rPr>
        <w:t>界首市城乡建设发展集团有限公司http://www.jscxjs.cn/网站</w:t>
      </w:r>
      <w:r>
        <w:rPr>
          <w:rFonts w:hint="eastAsia" w:ascii="宋体" w:hAnsi="宋体" w:eastAsia="宋体" w:cs="宋体"/>
          <w:color w:val="auto"/>
          <w:sz w:val="24"/>
          <w:szCs w:val="24"/>
        </w:rPr>
        <w:t>上发布，距响应截止时间不足</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日的，相应延长响应截止时间。</w:t>
      </w:r>
    </w:p>
    <w:p w14:paraId="05D969B7">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在响应截止日期前，无论出于何种原因，采购人可主动地或在解答供应商要求澄清的问题时对竞争性磋商文件进行修改。</w:t>
      </w:r>
    </w:p>
    <w:p w14:paraId="70497644">
      <w:pPr>
        <w:spacing w:line="440" w:lineRule="exact"/>
        <w:ind w:firstLine="435"/>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2.3.2采购人对供应商提出异议的答复将在</w:t>
      </w:r>
      <w:r>
        <w:rPr>
          <w:rFonts w:hint="eastAsia" w:ascii="宋体" w:hAnsi="宋体" w:eastAsia="宋体" w:cs="宋体"/>
          <w:color w:val="auto"/>
          <w:sz w:val="24"/>
          <w:szCs w:val="24"/>
          <w:lang w:val="en-US" w:eastAsia="zh-CN"/>
        </w:rPr>
        <w:t>界首市城乡建设发展集团有限公司http://www.jscxjs.cn/网站</w:t>
      </w:r>
      <w:r>
        <w:rPr>
          <w:rFonts w:hint="eastAsia" w:ascii="宋体" w:hAnsi="宋体" w:eastAsia="宋体" w:cs="宋体"/>
          <w:color w:val="auto"/>
          <w:sz w:val="24"/>
          <w:szCs w:val="24"/>
        </w:rPr>
        <w:t>上发布，但不指明澄清问题的来源。供应商自行在</w:t>
      </w:r>
      <w:r>
        <w:rPr>
          <w:rFonts w:hint="eastAsia" w:ascii="宋体" w:hAnsi="宋体" w:eastAsia="宋体" w:cs="宋体"/>
          <w:color w:val="auto"/>
          <w:sz w:val="24"/>
          <w:szCs w:val="24"/>
          <w:lang w:val="en-US" w:eastAsia="zh-CN"/>
        </w:rPr>
        <w:t>界首市城乡建设发展集团有限公司http://www.jscxjs.cn/网站上</w:t>
      </w:r>
      <w:r>
        <w:rPr>
          <w:rFonts w:hint="eastAsia" w:ascii="宋体" w:hAnsi="宋体" w:eastAsia="宋体" w:cs="宋体"/>
          <w:color w:val="auto"/>
          <w:sz w:val="24"/>
          <w:szCs w:val="24"/>
        </w:rPr>
        <w:t>查询，无需确认。</w:t>
      </w:r>
    </w:p>
    <w:p w14:paraId="59F185F1">
      <w:pPr>
        <w:spacing w:line="440" w:lineRule="exact"/>
        <w:ind w:firstLine="435"/>
        <w:rPr>
          <w:rFonts w:hint="eastAsia" w:ascii="宋体" w:hAnsi="宋体" w:eastAsia="宋体" w:cs="宋体"/>
          <w:color w:val="auto"/>
          <w:sz w:val="24"/>
          <w:szCs w:val="24"/>
        </w:rPr>
      </w:pPr>
      <w:r>
        <w:rPr>
          <w:rFonts w:hint="eastAsia" w:ascii="宋体" w:hAnsi="宋体" w:eastAsia="宋体" w:cs="宋体"/>
          <w:color w:val="auto"/>
          <w:sz w:val="24"/>
          <w:szCs w:val="24"/>
        </w:rPr>
        <w:t xml:space="preserve"> 2.3.3当竞争性磋商文件的澄清、修改、补充等在同一内容的表述上不一致时，以最后发出的为准。</w:t>
      </w:r>
      <w:r>
        <w:rPr>
          <w:rFonts w:hint="eastAsia" w:ascii="宋体" w:hAnsi="宋体" w:eastAsia="宋体" w:cs="宋体"/>
          <w:color w:val="auto"/>
          <w:sz w:val="24"/>
        </w:rPr>
        <w:t>为使供应商在准备磋商响应文件时，有充足的时间对竞争性磋商文件的修改进行研究考虑，采购方可自行决定，酌情推迟响应截止日期。</w:t>
      </w:r>
    </w:p>
    <w:p w14:paraId="1AD24325">
      <w:pPr>
        <w:pStyle w:val="6"/>
        <w:spacing w:before="20" w:after="20" w:line="360" w:lineRule="auto"/>
        <w:rPr>
          <w:rFonts w:hint="eastAsia" w:ascii="宋体" w:hAnsi="宋体" w:eastAsia="宋体" w:cs="宋体"/>
          <w:color w:val="auto"/>
          <w:sz w:val="28"/>
          <w:szCs w:val="28"/>
        </w:rPr>
      </w:pPr>
      <w:bookmarkStart w:id="62" w:name="_Toc448070714"/>
      <w:bookmarkStart w:id="63" w:name="_Toc4534"/>
      <w:bookmarkStart w:id="64" w:name="_Toc27516"/>
      <w:bookmarkStart w:id="65" w:name="_Toc21962"/>
      <w:r>
        <w:rPr>
          <w:rFonts w:hint="eastAsia" w:ascii="宋体" w:hAnsi="宋体" w:eastAsia="宋体" w:cs="宋体"/>
          <w:color w:val="auto"/>
          <w:sz w:val="28"/>
          <w:szCs w:val="28"/>
        </w:rPr>
        <w:t>3．响应文件</w:t>
      </w:r>
      <w:bookmarkEnd w:id="62"/>
      <w:bookmarkEnd w:id="63"/>
      <w:bookmarkEnd w:id="64"/>
      <w:bookmarkEnd w:id="65"/>
    </w:p>
    <w:p w14:paraId="1B858CCF">
      <w:pPr>
        <w:spacing w:line="44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3.1响应文件的组成</w:t>
      </w:r>
    </w:p>
    <w:p w14:paraId="209E9A77">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3.1.1 响应文件应包括下列内容：</w:t>
      </w:r>
    </w:p>
    <w:p w14:paraId="4A03EF3B">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见响应文件格式</w:t>
      </w:r>
    </w:p>
    <w:p w14:paraId="3325ECED">
      <w:pPr>
        <w:spacing w:line="440" w:lineRule="exact"/>
        <w:ind w:firstLine="361" w:firstLineChars="150"/>
        <w:rPr>
          <w:rFonts w:hint="eastAsia" w:ascii="宋体" w:hAnsi="宋体" w:eastAsia="宋体" w:cs="宋体"/>
          <w:b/>
          <w:color w:val="auto"/>
          <w:sz w:val="24"/>
          <w:szCs w:val="24"/>
        </w:rPr>
      </w:pPr>
      <w:r>
        <w:rPr>
          <w:rFonts w:hint="eastAsia" w:ascii="宋体" w:hAnsi="宋体" w:eastAsia="宋体" w:cs="宋体"/>
          <w:b/>
          <w:color w:val="auto"/>
          <w:sz w:val="24"/>
          <w:szCs w:val="24"/>
        </w:rPr>
        <w:t>3.2响应报价</w:t>
      </w:r>
    </w:p>
    <w:p w14:paraId="1F261A29">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 xml:space="preserve"> 3.2.1供应商应按竞争性磋商文件的格式要求填写相应表格。</w:t>
      </w:r>
    </w:p>
    <w:p w14:paraId="6AA9CEEF">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3.2.2供应商应在响应文件中注明拟提供服务的单价明细和总价。</w:t>
      </w:r>
    </w:p>
    <w:p w14:paraId="2E9A3B0A">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3.2.3报价内容包括完成本项目采购需求的全部费用。</w:t>
      </w:r>
    </w:p>
    <w:p w14:paraId="7E49B45D">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3.2.4供应商在响应截止时间前修改响应报价表中的响应总报价，应同时修改报价清单中相应报价。</w:t>
      </w:r>
    </w:p>
    <w:p w14:paraId="26E1194D">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3.2.5除非竞争性磋商文件另有规定，每一包只允许有一个</w:t>
      </w:r>
      <w:r>
        <w:rPr>
          <w:rFonts w:hint="eastAsia" w:ascii="宋体" w:hAnsi="宋体" w:eastAsia="宋体" w:cs="宋体"/>
          <w:color w:val="auto"/>
          <w:sz w:val="24"/>
          <w:szCs w:val="24"/>
          <w:lang w:val="en-US" w:eastAsia="zh-CN"/>
        </w:rPr>
        <w:t>响应</w:t>
      </w:r>
      <w:r>
        <w:rPr>
          <w:rFonts w:hint="eastAsia" w:ascii="宋体" w:hAnsi="宋体" w:eastAsia="宋体" w:cs="宋体"/>
          <w:color w:val="auto"/>
          <w:sz w:val="24"/>
          <w:szCs w:val="24"/>
        </w:rPr>
        <w:t>报价，任何有选择的报价或替代方案将导致响应无效。</w:t>
      </w:r>
    </w:p>
    <w:p w14:paraId="415BE5A6">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3.2.6采购人不建议供应商采用总价优惠或以总价百分比优惠的方式进行响应报价，其优惠可直接计算并体现在各项响应报价的单价中。</w:t>
      </w:r>
    </w:p>
    <w:p w14:paraId="20B6C8A5">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3.2.7除政策性文件规定以外，供应商所报价格在合同实施期间不因市场变化因素而变动。</w:t>
      </w:r>
    </w:p>
    <w:p w14:paraId="730EBCF8">
      <w:pPr>
        <w:spacing w:line="440" w:lineRule="exact"/>
        <w:ind w:firstLine="360" w:firstLineChars="150"/>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3.3响应有效期</w:t>
      </w:r>
    </w:p>
    <w:p w14:paraId="6C1028D2">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3.3.1 在供应商须知前附表规定的响应有效期内，供应商不得要求撤销或修改其响应文件。</w:t>
      </w:r>
    </w:p>
    <w:p w14:paraId="3F95A1D1">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3.3.2 出现特殊情况需要延长响应有效期的，将以书面形式通知所有供应商延长响应有效期。供应商同意延长的，不得要求或被允许修改或撤销其响应文件；供应商拒绝延长的，其响应失效。</w:t>
      </w:r>
    </w:p>
    <w:p w14:paraId="7EB24F9B">
      <w:pPr>
        <w:spacing w:line="440" w:lineRule="exact"/>
        <w:ind w:firstLine="361" w:firstLineChars="150"/>
        <w:rPr>
          <w:rFonts w:hint="eastAsia" w:ascii="宋体" w:hAnsi="宋体" w:eastAsia="宋体" w:cs="宋体"/>
          <w:b/>
          <w:color w:val="auto"/>
          <w:sz w:val="24"/>
          <w:szCs w:val="24"/>
        </w:rPr>
      </w:pPr>
      <w:bookmarkStart w:id="66" w:name="_Toc416271933"/>
      <w:bookmarkStart w:id="67" w:name="_Toc29145223"/>
      <w:bookmarkStart w:id="68" w:name="_Toc422395147"/>
      <w:bookmarkStart w:id="69" w:name="_Toc395801966"/>
      <w:bookmarkStart w:id="70" w:name="_Toc416271404"/>
      <w:r>
        <w:rPr>
          <w:rFonts w:hint="eastAsia" w:ascii="宋体" w:hAnsi="宋体" w:eastAsia="宋体" w:cs="宋体"/>
          <w:b/>
          <w:color w:val="auto"/>
          <w:sz w:val="24"/>
          <w:szCs w:val="24"/>
        </w:rPr>
        <w:t>3.4 磋商保证金</w:t>
      </w:r>
      <w:bookmarkEnd w:id="66"/>
      <w:bookmarkEnd w:id="67"/>
      <w:bookmarkEnd w:id="68"/>
      <w:bookmarkEnd w:id="69"/>
      <w:bookmarkEnd w:id="70"/>
    </w:p>
    <w:p w14:paraId="138C351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3.4.1 供应商在递交响应文件的同时，应按供应商须知前附表规定的金额、担保形式、递交方式递交磋商保证金。 </w:t>
      </w:r>
    </w:p>
    <w:p w14:paraId="741BD3B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3.4.2 供应商不按本章第3.4.1 条要求提交磋商保证金的，其响应文件作废标处理。</w:t>
      </w:r>
    </w:p>
    <w:p w14:paraId="66446E50">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3.4.3成交人以外的供应商磋商保证金将在成交通知书发出后5个工作日内予以退还。</w:t>
      </w:r>
    </w:p>
    <w:p w14:paraId="17FDE339">
      <w:pPr>
        <w:spacing w:line="360" w:lineRule="auto"/>
        <w:ind w:firstLine="480" w:firstLineChars="200"/>
        <w:outlineLvl w:val="3"/>
        <w:rPr>
          <w:rFonts w:hint="eastAsia" w:ascii="宋体" w:hAnsi="宋体" w:eastAsia="宋体" w:cs="宋体"/>
          <w:color w:val="auto"/>
          <w:sz w:val="24"/>
        </w:rPr>
      </w:pPr>
      <w:r>
        <w:rPr>
          <w:rFonts w:hint="eastAsia" w:ascii="宋体" w:hAnsi="宋体" w:eastAsia="宋体" w:cs="宋体"/>
          <w:color w:val="auto"/>
          <w:sz w:val="24"/>
        </w:rPr>
        <w:t>3.4.4成交人的磋商保证金在采购人与成交人签订合同后5个工作日内予以退还。</w:t>
      </w:r>
    </w:p>
    <w:p w14:paraId="53AC0E49">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3.4.5有下列情形之一的，磋商保证金将不予退还：</w:t>
      </w:r>
    </w:p>
    <w:p w14:paraId="5BC24736">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（1）在招标投标活动中串通投标、弄虚作假、以他人名义投标。 </w:t>
      </w:r>
    </w:p>
    <w:p w14:paraId="5B27F0E2">
      <w:pPr>
        <w:spacing w:line="360" w:lineRule="auto"/>
        <w:ind w:firstLine="600" w:firstLineChars="250"/>
        <w:rPr>
          <w:rFonts w:hint="eastAsia" w:ascii="宋体" w:hAnsi="宋体" w:eastAsia="宋体" w:cs="宋体"/>
          <w:color w:val="auto"/>
          <w:sz w:val="24"/>
        </w:rPr>
      </w:pPr>
      <w:r>
        <w:rPr>
          <w:rFonts w:hint="eastAsia" w:ascii="宋体" w:hAnsi="宋体" w:eastAsia="宋体" w:cs="宋体"/>
          <w:color w:val="auto"/>
          <w:sz w:val="24"/>
        </w:rPr>
        <w:t>(2）供应商在规定的投标有效期内撤销或修改其响应文件。</w:t>
      </w:r>
    </w:p>
    <w:p w14:paraId="3E2E8E2A">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lang w:eastAsia="zh-CN"/>
        </w:rPr>
        <w:t>成交</w:t>
      </w:r>
      <w:r>
        <w:rPr>
          <w:rFonts w:hint="eastAsia" w:ascii="宋体" w:hAnsi="宋体" w:eastAsia="宋体" w:cs="宋体"/>
          <w:color w:val="auto"/>
          <w:sz w:val="24"/>
        </w:rPr>
        <w:t>候选人除不可抗力外，放弃</w:t>
      </w:r>
      <w:r>
        <w:rPr>
          <w:rFonts w:hint="eastAsia" w:ascii="宋体" w:hAnsi="宋体" w:eastAsia="宋体" w:cs="宋体"/>
          <w:color w:val="auto"/>
          <w:sz w:val="24"/>
          <w:lang w:eastAsia="zh-CN"/>
        </w:rPr>
        <w:t>成交</w:t>
      </w:r>
      <w:r>
        <w:rPr>
          <w:rFonts w:hint="eastAsia" w:ascii="宋体" w:hAnsi="宋体" w:eastAsia="宋体" w:cs="宋体"/>
          <w:color w:val="auto"/>
          <w:sz w:val="24"/>
        </w:rPr>
        <w:t>候选资格的。</w:t>
      </w:r>
    </w:p>
    <w:p w14:paraId="163A8756">
      <w:pPr>
        <w:spacing w:line="360" w:lineRule="auto"/>
        <w:ind w:firstLine="600" w:firstLineChars="250"/>
        <w:rPr>
          <w:rFonts w:hint="eastAsia" w:ascii="宋体" w:hAnsi="宋体" w:eastAsia="宋体" w:cs="宋体"/>
          <w:color w:val="auto"/>
          <w:sz w:val="24"/>
        </w:rPr>
      </w:pPr>
      <w:r>
        <w:rPr>
          <w:rFonts w:hint="eastAsia" w:ascii="宋体" w:hAnsi="宋体" w:eastAsia="宋体" w:cs="宋体"/>
          <w:color w:val="auto"/>
          <w:sz w:val="24"/>
        </w:rPr>
        <w:t>(4）成交人在收到成交通知书后，无正当理由拒签合同协议书。</w:t>
      </w:r>
    </w:p>
    <w:p w14:paraId="6ED20500">
      <w:pPr>
        <w:spacing w:line="440" w:lineRule="exact"/>
        <w:ind w:firstLine="361" w:firstLineChars="150"/>
        <w:rPr>
          <w:rFonts w:hint="eastAsia" w:ascii="宋体" w:hAnsi="宋体" w:eastAsia="宋体" w:cs="宋体"/>
          <w:b/>
          <w:color w:val="auto"/>
          <w:sz w:val="24"/>
          <w:szCs w:val="24"/>
        </w:rPr>
      </w:pPr>
      <w:r>
        <w:rPr>
          <w:rFonts w:hint="eastAsia" w:ascii="宋体" w:hAnsi="宋体" w:eastAsia="宋体" w:cs="宋体"/>
          <w:b/>
          <w:color w:val="auto"/>
          <w:sz w:val="24"/>
          <w:szCs w:val="24"/>
        </w:rPr>
        <w:t>3.4 备选响应方案</w:t>
      </w:r>
    </w:p>
    <w:p w14:paraId="6EE0A49B">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本项目不接受备选响应方案。</w:t>
      </w:r>
    </w:p>
    <w:p w14:paraId="7394033A">
      <w:pPr>
        <w:spacing w:line="440" w:lineRule="exact"/>
        <w:ind w:firstLine="361" w:firstLineChars="150"/>
        <w:rPr>
          <w:rFonts w:hint="eastAsia" w:ascii="宋体" w:hAnsi="宋体" w:eastAsia="宋体" w:cs="宋体"/>
          <w:b/>
          <w:color w:val="auto"/>
          <w:sz w:val="24"/>
          <w:szCs w:val="24"/>
        </w:rPr>
      </w:pPr>
      <w:r>
        <w:rPr>
          <w:rFonts w:hint="eastAsia" w:ascii="宋体" w:hAnsi="宋体" w:eastAsia="宋体" w:cs="宋体"/>
          <w:b/>
          <w:color w:val="auto"/>
          <w:sz w:val="24"/>
          <w:szCs w:val="24"/>
        </w:rPr>
        <w:t>3.5响应文件的编制和标记</w:t>
      </w:r>
    </w:p>
    <w:p w14:paraId="4618F99A">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3.5.1 响应文件必须按上述序号或顺序编制，并按规定格式填写响应文件资料清单。响应文件一律胶装，否则作无效标处理。</w:t>
      </w:r>
    </w:p>
    <w:p w14:paraId="6DDB629F">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3.5.2 供应商应认真阅读竞争性磋商文件中所有的事项、格式、条件、条款和规范等要求。</w:t>
      </w:r>
    </w:p>
    <w:p w14:paraId="55A9B8F9">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3.5.3 供应商应按照竞争性磋商文件的要求，规范、明确、准时的提交响应文件。如果没有按照竞争性磋商文件的要求提交全部资料并保证所提供全部资料的真实性，或没有对竞争性磋商文件做出实质性响应，其风险应由供应商自行承担。根据有关条款规定，其响应有可能被拒绝。</w:t>
      </w:r>
    </w:p>
    <w:p w14:paraId="3F810CB4">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3.5.4除非有特殊要求，竞争性磋商文件不单独提供采购货物使用地的自然环境、气候条件、公用设施等情况，供应商被视为熟悉上述与履行合同有关的一切情况。</w:t>
      </w:r>
    </w:p>
    <w:p w14:paraId="5C1EA8F0">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3.5.5 响应文件必须对竞争性磋商文件有关</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期限、响应有效期、质量要求、技术标准和要求、采购范围、人员配备等实质性内容作出响应。</w:t>
      </w:r>
    </w:p>
    <w:p w14:paraId="366D85D2">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3.5.6 响应文件应用不褪色的材料书写或打印，并按竞争性磋商文件规定的格式由供应商的法定代表人（负责人）或其委托代理人签字和盖单位章。委托代理人签字的，响应文件应附法定代表人（负责人）签署的授权委托书。响应文件不得进行涂改、行间插字或删除。如果出现上述情况，响应文件不予评审。</w:t>
      </w:r>
    </w:p>
    <w:p w14:paraId="4B50AC15">
      <w:pPr>
        <w:spacing w:line="440" w:lineRule="exact"/>
        <w:ind w:firstLine="480" w:firstLineChars="200"/>
        <w:rPr>
          <w:rFonts w:hint="eastAsia" w:ascii="宋体" w:hAnsi="宋体" w:eastAsia="宋体" w:cs="宋体"/>
          <w:b/>
          <w:color w:val="auto"/>
          <w:sz w:val="24"/>
          <w:szCs w:val="24"/>
          <w:u w:val="double"/>
        </w:rPr>
      </w:pPr>
      <w:r>
        <w:rPr>
          <w:rFonts w:hint="eastAsia" w:ascii="宋体" w:hAnsi="宋体" w:eastAsia="宋体" w:cs="宋体"/>
          <w:color w:val="auto"/>
          <w:sz w:val="24"/>
          <w:szCs w:val="24"/>
        </w:rPr>
        <w:t>3.5.7响应文件</w:t>
      </w:r>
      <w:r>
        <w:rPr>
          <w:rFonts w:hint="eastAsia" w:ascii="宋体" w:hAnsi="宋体" w:eastAsia="宋体" w:cs="宋体"/>
          <w:color w:val="auto"/>
          <w:sz w:val="24"/>
          <w:szCs w:val="24"/>
          <w:lang w:eastAsia="zh-CN"/>
        </w:rPr>
        <w:t>份数</w:t>
      </w:r>
      <w:r>
        <w:rPr>
          <w:rFonts w:hint="eastAsia" w:ascii="宋体" w:hAnsi="宋体" w:eastAsia="宋体" w:cs="宋体"/>
          <w:color w:val="auto"/>
          <w:sz w:val="24"/>
          <w:szCs w:val="24"/>
        </w:rPr>
        <w:t>，</w:t>
      </w:r>
      <w:r>
        <w:rPr>
          <w:rFonts w:hint="eastAsia" w:ascii="宋体" w:hAnsi="宋体" w:eastAsia="宋体" w:cs="宋体"/>
          <w:b/>
          <w:color w:val="auto"/>
          <w:sz w:val="24"/>
          <w:szCs w:val="24"/>
          <w:u w:val="single"/>
        </w:rPr>
        <w:t>正本壹份、副本贰份</w:t>
      </w:r>
      <w:r>
        <w:rPr>
          <w:rFonts w:hint="eastAsia" w:ascii="宋体" w:hAnsi="宋体" w:eastAsia="宋体" w:cs="宋体"/>
          <w:b/>
          <w:color w:val="auto"/>
          <w:sz w:val="24"/>
          <w:szCs w:val="24"/>
          <w:u w:val="single"/>
          <w:lang w:eastAsia="zh-CN"/>
        </w:rPr>
        <w:t>，</w:t>
      </w:r>
      <w:r>
        <w:rPr>
          <w:rFonts w:hint="eastAsia" w:ascii="宋体" w:hAnsi="宋体" w:eastAsia="宋体" w:cs="宋体"/>
          <w:b/>
          <w:color w:val="auto"/>
          <w:sz w:val="24"/>
          <w:szCs w:val="24"/>
          <w:highlight w:val="none"/>
          <w:u w:val="single"/>
        </w:rPr>
        <w:t>电子版（U盘）文件一份</w:t>
      </w:r>
      <w:r>
        <w:rPr>
          <w:rFonts w:hint="eastAsia" w:ascii="宋体" w:hAnsi="宋体" w:eastAsia="宋体" w:cs="宋体"/>
          <w:b/>
          <w:color w:val="auto"/>
          <w:sz w:val="24"/>
          <w:szCs w:val="24"/>
        </w:rPr>
        <w:t>。</w:t>
      </w:r>
    </w:p>
    <w:p w14:paraId="416D0E65">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3.5.8响应文件的正本与副本应分别装订成册。</w:t>
      </w:r>
    </w:p>
    <w:p w14:paraId="340DCC17">
      <w:pPr>
        <w:pStyle w:val="6"/>
        <w:spacing w:before="20" w:after="20" w:line="360" w:lineRule="auto"/>
        <w:rPr>
          <w:rFonts w:hint="eastAsia" w:ascii="宋体" w:hAnsi="宋体" w:eastAsia="宋体" w:cs="宋体"/>
          <w:color w:val="auto"/>
          <w:sz w:val="28"/>
          <w:szCs w:val="28"/>
        </w:rPr>
      </w:pPr>
      <w:bookmarkStart w:id="71" w:name="_Toc12243"/>
      <w:bookmarkStart w:id="72" w:name="_Toc32318"/>
      <w:bookmarkStart w:id="73" w:name="_Toc32015"/>
      <w:bookmarkStart w:id="74" w:name="_Toc448070715"/>
      <w:r>
        <w:rPr>
          <w:rFonts w:hint="eastAsia" w:ascii="宋体" w:hAnsi="宋体" w:eastAsia="宋体" w:cs="宋体"/>
          <w:color w:val="auto"/>
          <w:sz w:val="28"/>
          <w:szCs w:val="28"/>
        </w:rPr>
        <w:t>4．响应文件密封、递交</w:t>
      </w:r>
      <w:bookmarkEnd w:id="71"/>
      <w:bookmarkEnd w:id="72"/>
      <w:bookmarkEnd w:id="73"/>
      <w:bookmarkEnd w:id="74"/>
    </w:p>
    <w:p w14:paraId="72C338C0">
      <w:pPr>
        <w:pStyle w:val="7"/>
        <w:spacing w:before="0" w:after="0" w:line="400" w:lineRule="exact"/>
        <w:ind w:firstLine="482" w:firstLineChars="200"/>
        <w:rPr>
          <w:rFonts w:hint="eastAsia" w:ascii="宋体" w:hAnsi="宋体" w:eastAsia="宋体" w:cs="宋体"/>
          <w:color w:val="auto"/>
          <w:sz w:val="24"/>
          <w:szCs w:val="24"/>
        </w:rPr>
      </w:pPr>
      <w:r>
        <w:rPr>
          <w:rFonts w:hint="eastAsia" w:ascii="宋体" w:hAnsi="宋体" w:eastAsia="宋体" w:cs="宋体"/>
          <w:color w:val="auto"/>
          <w:sz w:val="24"/>
          <w:szCs w:val="24"/>
        </w:rPr>
        <w:t>4.1 响应文件的密封和标记</w:t>
      </w:r>
    </w:p>
    <w:p w14:paraId="21BF4055">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4.1.1 响应文件的正本与副本宜分开包装，加贴封条，并在封套的封口处加盖申请人单位章。</w:t>
      </w:r>
    </w:p>
    <w:p w14:paraId="0C4E9BCA">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4.1.2 响应文件的封套上应清楚地标记“正本”或“副本”字样，封套上应写明的其他内容见供应商须知前附表。</w:t>
      </w:r>
    </w:p>
    <w:p w14:paraId="598E3A01">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4.1.3 未按本章第4.1.1项或第4.1.2项要求密封的响应文件，采购人不予受理。</w:t>
      </w:r>
    </w:p>
    <w:p w14:paraId="042DC581">
      <w:pPr>
        <w:spacing w:line="4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4.2响应文件的递交</w:t>
      </w:r>
    </w:p>
    <w:p w14:paraId="3BF2B060">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 xml:space="preserve"> 4.2.1 响应截止时间：见供应商须知前附表。</w:t>
      </w:r>
    </w:p>
    <w:p w14:paraId="1F259945">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4.2.2 供应商递交响应文件的地点：见供应商须知前附表。</w:t>
      </w:r>
    </w:p>
    <w:p w14:paraId="22D94024">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4.2.3 逾期送达的或者未送达指定地点的响应文件，采购人不予受理。</w:t>
      </w:r>
    </w:p>
    <w:p w14:paraId="16B1A908">
      <w:pPr>
        <w:spacing w:line="440" w:lineRule="exact"/>
        <w:ind w:firstLine="465"/>
        <w:rPr>
          <w:rFonts w:hint="eastAsia" w:ascii="宋体" w:hAnsi="宋体" w:eastAsia="宋体" w:cs="宋体"/>
          <w:b/>
          <w:color w:val="auto"/>
          <w:sz w:val="24"/>
          <w:szCs w:val="24"/>
        </w:rPr>
      </w:pPr>
      <w:r>
        <w:rPr>
          <w:rFonts w:hint="eastAsia" w:ascii="宋体" w:hAnsi="宋体" w:eastAsia="宋体" w:cs="宋体"/>
          <w:b/>
          <w:color w:val="auto"/>
          <w:sz w:val="24"/>
          <w:szCs w:val="24"/>
        </w:rPr>
        <w:t>4.3响应文件的修改与撤回</w:t>
      </w:r>
    </w:p>
    <w:p w14:paraId="5B1F5EF2">
      <w:pPr>
        <w:spacing w:line="440" w:lineRule="exact"/>
        <w:ind w:firstLine="465"/>
        <w:rPr>
          <w:rFonts w:hint="eastAsia" w:ascii="宋体" w:hAnsi="宋体" w:eastAsia="宋体" w:cs="宋体"/>
          <w:color w:val="auto"/>
          <w:sz w:val="24"/>
          <w:szCs w:val="24"/>
        </w:rPr>
      </w:pPr>
      <w:r>
        <w:rPr>
          <w:rFonts w:hint="eastAsia" w:ascii="宋体" w:hAnsi="宋体" w:eastAsia="宋体" w:cs="宋体"/>
          <w:color w:val="auto"/>
          <w:sz w:val="24"/>
          <w:szCs w:val="24"/>
        </w:rPr>
        <w:t>4.3.1供应商在递交响应文件后，可以修改或撤回其响应，但这种修改和撤回，必须在规定的响应截止日期前，并以书面形式通知。在响应截止时间后，供应商不得再要求修改或撤回其响应文件。</w:t>
      </w:r>
    </w:p>
    <w:p w14:paraId="7F572E0F">
      <w:pPr>
        <w:spacing w:line="440" w:lineRule="exact"/>
        <w:ind w:firstLine="465"/>
        <w:rPr>
          <w:rFonts w:hint="eastAsia" w:ascii="宋体" w:hAnsi="宋体" w:eastAsia="宋体" w:cs="宋体"/>
          <w:color w:val="auto"/>
          <w:sz w:val="24"/>
          <w:szCs w:val="24"/>
        </w:rPr>
      </w:pPr>
      <w:r>
        <w:rPr>
          <w:rFonts w:hint="eastAsia" w:ascii="宋体" w:hAnsi="宋体" w:eastAsia="宋体" w:cs="宋体"/>
          <w:color w:val="auto"/>
          <w:sz w:val="24"/>
          <w:szCs w:val="24"/>
        </w:rPr>
        <w:t>4.3.2 供应商的修改书或撤回通知书，应按规定进行编制、密封、标记和递交，且上标明“修改”或“撤回”字样。</w:t>
      </w:r>
    </w:p>
    <w:p w14:paraId="29762B65">
      <w:pPr>
        <w:spacing w:line="440" w:lineRule="exact"/>
        <w:ind w:firstLine="465"/>
        <w:rPr>
          <w:rFonts w:hint="eastAsia" w:ascii="宋体" w:hAnsi="宋体" w:eastAsia="宋体" w:cs="宋体"/>
          <w:color w:val="auto"/>
          <w:szCs w:val="21"/>
        </w:rPr>
      </w:pPr>
      <w:r>
        <w:rPr>
          <w:rFonts w:hint="eastAsia" w:ascii="宋体" w:hAnsi="宋体" w:eastAsia="宋体" w:cs="宋体"/>
          <w:color w:val="auto"/>
          <w:sz w:val="24"/>
          <w:szCs w:val="24"/>
        </w:rPr>
        <w:t>4.3.3在响应截止日期与竞争性磋商文件规定的有效期终止日之间的这段时间内，供应商不能撤回响应文件。</w:t>
      </w:r>
    </w:p>
    <w:p w14:paraId="3277B8EB">
      <w:pPr>
        <w:pStyle w:val="6"/>
        <w:spacing w:before="20" w:after="2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bookmarkStart w:id="75" w:name="_Toc448070716"/>
      <w:bookmarkStart w:id="76" w:name="_Toc26630"/>
      <w:bookmarkStart w:id="77" w:name="_Toc12916"/>
      <w:bookmarkStart w:id="78" w:name="_Toc28603"/>
      <w:r>
        <w:rPr>
          <w:rFonts w:hint="eastAsia" w:ascii="宋体" w:hAnsi="宋体" w:eastAsia="宋体" w:cs="宋体"/>
          <w:color w:val="auto"/>
          <w:sz w:val="28"/>
          <w:szCs w:val="28"/>
        </w:rPr>
        <w:t>5．</w:t>
      </w:r>
      <w:bookmarkEnd w:id="75"/>
      <w:bookmarkEnd w:id="76"/>
      <w:r>
        <w:rPr>
          <w:rFonts w:hint="eastAsia" w:ascii="宋体" w:hAnsi="宋体" w:eastAsia="宋体" w:cs="宋体"/>
          <w:color w:val="auto"/>
          <w:sz w:val="28"/>
          <w:szCs w:val="28"/>
        </w:rPr>
        <w:t>磋商会</w:t>
      </w:r>
      <w:bookmarkEnd w:id="77"/>
      <w:bookmarkEnd w:id="78"/>
    </w:p>
    <w:p w14:paraId="0436B302">
      <w:pPr>
        <w:spacing w:line="4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5.1磋商时间和地点</w:t>
      </w:r>
    </w:p>
    <w:p w14:paraId="66C9998A">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将在供应商须知前附表规定的时间和地点进行磋商，并邀请所有供应商的法定代表人（负责人）或授权委托人准时参加磋商会。</w:t>
      </w:r>
    </w:p>
    <w:p w14:paraId="4FB9A8BB">
      <w:pPr>
        <w:spacing w:line="4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5.2磋商程序</w:t>
      </w:r>
    </w:p>
    <w:p w14:paraId="5C5D5F27">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5.2.1主持人按下列程序召开磋商会：</w:t>
      </w:r>
    </w:p>
    <w:p w14:paraId="4AC7A885">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(l）采购人及监督人员到场情况。</w:t>
      </w:r>
    </w:p>
    <w:p w14:paraId="4BD16209">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(2）宣布磋商纪律。</w:t>
      </w:r>
    </w:p>
    <w:p w14:paraId="60DBB9AA">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（3）公布在响应截止时间前递交响应文件的供应商名称。</w:t>
      </w:r>
    </w:p>
    <w:p w14:paraId="17946F38">
      <w:pPr>
        <w:spacing w:line="44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（4）由供应商代表检查各自响应文件的密封情况。</w:t>
      </w:r>
    </w:p>
    <w:p w14:paraId="35B792F2">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(5）宣布竞争性磋商顺序</w:t>
      </w:r>
    </w:p>
    <w:p w14:paraId="7EB70CFB">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(6）磋商会议结束,进入磋商阶段；</w:t>
      </w:r>
    </w:p>
    <w:p w14:paraId="0ACE1554">
      <w:pPr>
        <w:pStyle w:val="6"/>
        <w:spacing w:before="20" w:after="20" w:line="360" w:lineRule="auto"/>
        <w:rPr>
          <w:rFonts w:hint="eastAsia" w:ascii="宋体" w:hAnsi="宋体" w:eastAsia="宋体" w:cs="宋体"/>
          <w:color w:val="auto"/>
          <w:sz w:val="28"/>
          <w:szCs w:val="28"/>
        </w:rPr>
      </w:pPr>
      <w:bookmarkStart w:id="79" w:name="_Hlt509650690"/>
      <w:bookmarkEnd w:id="79"/>
      <w:bookmarkStart w:id="80" w:name="_Hlt509650333"/>
      <w:bookmarkEnd w:id="80"/>
      <w:bookmarkStart w:id="81" w:name="_Hlt509650961"/>
      <w:bookmarkEnd w:id="81"/>
      <w:bookmarkStart w:id="82" w:name="_Hlt509650116"/>
      <w:bookmarkEnd w:id="82"/>
      <w:bookmarkStart w:id="83" w:name="_Hlt509650936"/>
      <w:bookmarkEnd w:id="83"/>
      <w:bookmarkStart w:id="84" w:name="_Hlt509649645"/>
      <w:bookmarkEnd w:id="84"/>
      <w:bookmarkStart w:id="85" w:name="_Hlt526418153"/>
      <w:bookmarkEnd w:id="85"/>
      <w:bookmarkStart w:id="86" w:name="_Hlt509650103"/>
      <w:bookmarkEnd w:id="86"/>
      <w:bookmarkStart w:id="87" w:name="_Hlt509649795"/>
      <w:bookmarkEnd w:id="87"/>
      <w:bookmarkStart w:id="88" w:name="_Hlt509649678"/>
      <w:bookmarkEnd w:id="88"/>
      <w:bookmarkStart w:id="89" w:name="_Hlt509649330"/>
      <w:bookmarkEnd w:id="89"/>
      <w:bookmarkStart w:id="90" w:name="_Hlt509649669"/>
      <w:bookmarkEnd w:id="90"/>
      <w:bookmarkStart w:id="91" w:name="_Hlt509650932"/>
      <w:bookmarkEnd w:id="91"/>
      <w:bookmarkStart w:id="92" w:name="_Hlt509650929"/>
      <w:bookmarkEnd w:id="92"/>
      <w:bookmarkStart w:id="93" w:name="_Toc448070717"/>
      <w:bookmarkStart w:id="94" w:name="_Toc7354"/>
      <w:bookmarkStart w:id="95" w:name="_Toc2552"/>
      <w:bookmarkStart w:id="96" w:name="_Toc25432"/>
      <w:r>
        <w:rPr>
          <w:rFonts w:hint="eastAsia" w:ascii="宋体" w:hAnsi="宋体" w:eastAsia="宋体" w:cs="宋体"/>
          <w:color w:val="auto"/>
          <w:sz w:val="28"/>
          <w:szCs w:val="28"/>
        </w:rPr>
        <w:t>6．</w:t>
      </w:r>
      <w:bookmarkEnd w:id="93"/>
      <w:bookmarkEnd w:id="94"/>
      <w:r>
        <w:rPr>
          <w:rFonts w:hint="eastAsia" w:ascii="宋体" w:hAnsi="宋体" w:eastAsia="宋体" w:cs="宋体"/>
          <w:color w:val="auto"/>
          <w:sz w:val="28"/>
          <w:szCs w:val="28"/>
        </w:rPr>
        <w:t>磋 商</w:t>
      </w:r>
      <w:bookmarkEnd w:id="95"/>
      <w:bookmarkEnd w:id="96"/>
    </w:p>
    <w:p w14:paraId="2499F119">
      <w:pPr>
        <w:spacing w:line="44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6.1磋商小组</w:t>
      </w:r>
    </w:p>
    <w:p w14:paraId="7FACBF05">
      <w:pPr>
        <w:pStyle w:val="21"/>
        <w:spacing w:before="0" w:beforeAutospacing="0" w:after="0" w:afterAutospacing="0" w:line="440" w:lineRule="exact"/>
        <w:ind w:firstLine="480" w:firstLineChars="200"/>
        <w:jc w:val="both"/>
        <w:rPr>
          <w:rFonts w:hint="eastAsia" w:ascii="宋体" w:hAnsi="宋体" w:eastAsia="宋体" w:cs="宋体"/>
          <w:color w:val="auto"/>
        </w:rPr>
      </w:pPr>
      <w:r>
        <w:rPr>
          <w:rFonts w:hint="eastAsia" w:ascii="宋体" w:hAnsi="宋体" w:eastAsia="宋体" w:cs="宋体"/>
          <w:color w:val="auto"/>
        </w:rPr>
        <w:t>6.1.1 磋商由采购人依法组建的磋商小组负责。磋商小组由采购人熟悉相关业务的代表，以及有关技术、经济等方面的专家组成。磋商小组成员人数3人及以上。磋商小组成员的名单在成交结果确定前应当保密。</w:t>
      </w:r>
    </w:p>
    <w:p w14:paraId="46F0E4E0">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6.1.2 有下列情形之一的，不得担任磋商小组成员：</w:t>
      </w:r>
    </w:p>
    <w:p w14:paraId="34BC59B3">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(1）供应商或供应商的主要负责人的近亲属。</w:t>
      </w:r>
    </w:p>
    <w:p w14:paraId="73214F93">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(2）与供应商有经济利益关系，可能影响对响应公正评审的。</w:t>
      </w:r>
    </w:p>
    <w:p w14:paraId="1A992EE7">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(3）曾因在采购响应文件、评审以及其他与采购响应有关活动中从事违法行为而受过行政处罚或刑事处罚的。</w:t>
      </w:r>
    </w:p>
    <w:p w14:paraId="425CA444">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磋商小组成员有前款情形之一的，应当主动提出回避。</w:t>
      </w:r>
    </w:p>
    <w:p w14:paraId="0188A9E9">
      <w:pPr>
        <w:spacing w:line="4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6.2磋商原则</w:t>
      </w:r>
    </w:p>
    <w:p w14:paraId="3B91D04F">
      <w:pPr>
        <w:spacing w:line="440" w:lineRule="exact"/>
        <w:ind w:firstLine="435"/>
        <w:rPr>
          <w:rFonts w:hint="eastAsia" w:ascii="宋体" w:hAnsi="宋体" w:eastAsia="宋体" w:cs="宋体"/>
          <w:color w:val="auto"/>
          <w:sz w:val="24"/>
          <w:szCs w:val="24"/>
        </w:rPr>
      </w:pPr>
      <w:r>
        <w:rPr>
          <w:rFonts w:hint="eastAsia" w:ascii="宋体" w:hAnsi="宋体" w:eastAsia="宋体" w:cs="宋体"/>
          <w:color w:val="auto"/>
          <w:sz w:val="24"/>
          <w:szCs w:val="24"/>
        </w:rPr>
        <w:t xml:space="preserve"> 磋商活动遵循公平、公正、科学和择优的原则。</w:t>
      </w:r>
    </w:p>
    <w:p w14:paraId="4910093B">
      <w:pPr>
        <w:spacing w:line="44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6.3评审</w:t>
      </w:r>
    </w:p>
    <w:p w14:paraId="7CCB998B">
      <w:pPr>
        <w:spacing w:line="440" w:lineRule="exact"/>
        <w:ind w:firstLine="435"/>
        <w:rPr>
          <w:rFonts w:hint="eastAsia" w:ascii="宋体" w:hAnsi="宋体" w:eastAsia="宋体" w:cs="宋体"/>
          <w:color w:val="auto"/>
          <w:sz w:val="24"/>
          <w:szCs w:val="24"/>
        </w:rPr>
      </w:pPr>
      <w:r>
        <w:rPr>
          <w:rFonts w:hint="eastAsia" w:ascii="宋体" w:hAnsi="宋体" w:eastAsia="宋体" w:cs="宋体"/>
          <w:color w:val="auto"/>
          <w:sz w:val="24"/>
        </w:rPr>
        <w:t>磋商按照第三章“评审办法”规定的方法、评审因素、标准和程序对竞争性磋商响应文件进行评审。第三章“评审办法”没有规定的方法、评审因素和标准，不作为评审依据。</w:t>
      </w:r>
    </w:p>
    <w:p w14:paraId="3BB2C84D">
      <w:pPr>
        <w:pStyle w:val="6"/>
        <w:spacing w:before="20" w:after="20" w:line="360" w:lineRule="auto"/>
        <w:rPr>
          <w:rFonts w:hint="eastAsia" w:ascii="宋体" w:hAnsi="宋体" w:eastAsia="宋体" w:cs="宋体"/>
          <w:color w:val="auto"/>
          <w:sz w:val="28"/>
          <w:szCs w:val="28"/>
        </w:rPr>
      </w:pPr>
      <w:bookmarkStart w:id="97" w:name="_Toc9575"/>
      <w:bookmarkStart w:id="98" w:name="_Toc29526"/>
      <w:bookmarkStart w:id="99" w:name="_Toc448070718"/>
      <w:bookmarkStart w:id="100" w:name="_Toc24553"/>
      <w:r>
        <w:rPr>
          <w:rFonts w:hint="eastAsia" w:ascii="宋体" w:hAnsi="宋体" w:eastAsia="宋体" w:cs="宋体"/>
          <w:color w:val="auto"/>
          <w:sz w:val="28"/>
          <w:szCs w:val="28"/>
        </w:rPr>
        <w:t>7．合同授予</w:t>
      </w:r>
      <w:bookmarkEnd w:id="97"/>
      <w:bookmarkEnd w:id="98"/>
      <w:bookmarkEnd w:id="99"/>
      <w:bookmarkEnd w:id="100"/>
    </w:p>
    <w:p w14:paraId="69C7C617">
      <w:pPr>
        <w:spacing w:line="46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7.1合同授予标准</w:t>
      </w:r>
    </w:p>
    <w:p w14:paraId="5C3CC884">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7.1.1如无特殊原因和情况，磋商小组将对实质上响应竞争性磋商文件要求的供应商按照竞争性磋商文件规定的办法确定成交候选人的先后顺序。买方将把合同授予实质上响应竞争性磋商文件要求的、报价合理的成交推荐单位。</w:t>
      </w:r>
    </w:p>
    <w:p w14:paraId="592A66D5">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7.1.2成交公告</w:t>
      </w:r>
    </w:p>
    <w:p w14:paraId="4D2D67B9">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成交公告将在</w:t>
      </w:r>
      <w:r>
        <w:rPr>
          <w:rFonts w:hint="eastAsia" w:ascii="宋体" w:hAnsi="宋体" w:eastAsia="宋体" w:cs="宋体"/>
          <w:color w:val="auto"/>
          <w:sz w:val="24"/>
          <w:szCs w:val="24"/>
          <w:lang w:val="en-US" w:eastAsia="zh-CN"/>
        </w:rPr>
        <w:t>界首市城乡建设发展集团有限公司http://www.jscxjs.cn/网站</w:t>
      </w:r>
      <w:r>
        <w:rPr>
          <w:rFonts w:hint="eastAsia" w:ascii="宋体" w:hAnsi="宋体" w:eastAsia="宋体" w:cs="宋体"/>
          <w:color w:val="auto"/>
          <w:sz w:val="24"/>
          <w:szCs w:val="24"/>
        </w:rPr>
        <w:t>公示。</w:t>
      </w:r>
    </w:p>
    <w:p w14:paraId="209232BF">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7.1.3磋商结束后根据需要，有可能对成交候选人进行实地考察。在考察过程中，发现有弄虚作假、业绩不实、挂靠、违法转包等行为的，取消其成交候选人资格。</w:t>
      </w:r>
    </w:p>
    <w:p w14:paraId="2C5BA4BF">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7.1.4最低报价并不是被授予合同的保证。</w:t>
      </w:r>
    </w:p>
    <w:p w14:paraId="70D6D0A1">
      <w:pPr>
        <w:spacing w:line="460" w:lineRule="exact"/>
        <w:ind w:firstLine="435"/>
        <w:rPr>
          <w:rFonts w:hint="eastAsia" w:ascii="宋体" w:hAnsi="宋体" w:eastAsia="宋体" w:cs="宋体"/>
          <w:b/>
          <w:color w:val="auto"/>
          <w:sz w:val="24"/>
          <w:szCs w:val="24"/>
        </w:rPr>
      </w:pPr>
      <w:r>
        <w:rPr>
          <w:rFonts w:hint="eastAsia" w:ascii="宋体" w:hAnsi="宋体" w:eastAsia="宋体" w:cs="宋体"/>
          <w:b/>
          <w:color w:val="auto"/>
          <w:sz w:val="24"/>
          <w:szCs w:val="24"/>
        </w:rPr>
        <w:t>7.2成交通知书</w:t>
      </w:r>
    </w:p>
    <w:p w14:paraId="7EA18B59">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7.2.1在响应有效期满之前将以书面形式通知成交人，其响应已被接受。</w:t>
      </w:r>
    </w:p>
    <w:p w14:paraId="00831E1E">
      <w:pPr>
        <w:spacing w:line="440" w:lineRule="exact"/>
        <w:ind w:firstLine="549"/>
        <w:rPr>
          <w:rFonts w:hint="eastAsia" w:ascii="宋体" w:hAnsi="宋体" w:eastAsia="宋体" w:cs="宋体"/>
          <w:b/>
          <w:color w:val="auto"/>
          <w:sz w:val="24"/>
          <w:szCs w:val="24"/>
        </w:rPr>
      </w:pPr>
      <w:r>
        <w:rPr>
          <w:rFonts w:hint="eastAsia" w:ascii="宋体" w:hAnsi="宋体" w:eastAsia="宋体" w:cs="宋体"/>
          <w:b/>
          <w:color w:val="auto"/>
          <w:sz w:val="24"/>
          <w:szCs w:val="24"/>
        </w:rPr>
        <w:t>7.2.2采购人将不对成交和未成交的原因作任何解释。</w:t>
      </w:r>
    </w:p>
    <w:p w14:paraId="226594BC">
      <w:pPr>
        <w:spacing w:line="440" w:lineRule="exact"/>
        <w:ind w:firstLine="549"/>
        <w:rPr>
          <w:rFonts w:hint="eastAsia" w:ascii="宋体" w:hAnsi="宋体" w:eastAsia="宋体" w:cs="宋体"/>
          <w:b/>
          <w:color w:val="auto"/>
          <w:sz w:val="24"/>
          <w:szCs w:val="24"/>
        </w:rPr>
      </w:pPr>
      <w:r>
        <w:rPr>
          <w:rFonts w:hint="eastAsia" w:ascii="宋体" w:hAnsi="宋体" w:eastAsia="宋体" w:cs="宋体"/>
          <w:b/>
          <w:color w:val="auto"/>
          <w:sz w:val="24"/>
          <w:szCs w:val="24"/>
        </w:rPr>
        <w:t>7.3签订合同</w:t>
      </w:r>
    </w:p>
    <w:p w14:paraId="4AA7387D">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7.3.1成交人应在成交通知书发出之日起7个工作日内（具体时间、地点见成交通知书）与采购人签订合同。竞争性磋商文件、成交人的响应文件及澄清文件等，均作为合同的附件。成交人无正当理由拒签合同的，采购人取消其成交资格；给采购人造成的损失的，成交人还应当予以赔偿。</w:t>
      </w:r>
    </w:p>
    <w:p w14:paraId="5EF63C62">
      <w:pPr>
        <w:spacing w:line="440" w:lineRule="exact"/>
        <w:ind w:firstLine="549"/>
        <w:rPr>
          <w:rFonts w:hint="eastAsia" w:ascii="宋体" w:hAnsi="宋体" w:eastAsia="宋体" w:cs="宋体"/>
          <w:b/>
          <w:color w:val="auto"/>
          <w:sz w:val="24"/>
          <w:szCs w:val="24"/>
        </w:rPr>
      </w:pPr>
      <w:r>
        <w:rPr>
          <w:rFonts w:hint="eastAsia" w:ascii="宋体" w:hAnsi="宋体" w:eastAsia="宋体" w:cs="宋体"/>
          <w:b/>
          <w:color w:val="auto"/>
          <w:sz w:val="24"/>
          <w:szCs w:val="24"/>
        </w:rPr>
        <w:t>7.3.2成交人在7.3.1规定的时间内无正当理由拒签合同的，采购人取消其成交资格；采购人有权将按照磋商小组提出的成交候选人名单排序依次确定其他成交候选人为成交人或者作出流标处理；</w:t>
      </w:r>
    </w:p>
    <w:p w14:paraId="64CB936A">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7.3.3采购人保留以书面形式要求合同的卖方对其所投设备的装运方式、交货地点及服务等作适当调整的权利。卖方必须在接到买方的变更要求后及时根据本条款提出的调整内容做出同意与否的答复。</w:t>
      </w:r>
    </w:p>
    <w:p w14:paraId="2D6AE7E8">
      <w:pPr>
        <w:spacing w:line="440" w:lineRule="exact"/>
        <w:ind w:firstLine="549"/>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7.4履约保证金</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本项目不启用</w:t>
      </w:r>
      <w:r>
        <w:rPr>
          <w:rFonts w:hint="eastAsia" w:ascii="宋体" w:hAnsi="宋体" w:eastAsia="宋体" w:cs="宋体"/>
          <w:b/>
          <w:color w:val="auto"/>
          <w:sz w:val="24"/>
          <w:szCs w:val="24"/>
          <w:lang w:eastAsia="zh-CN"/>
        </w:rPr>
        <w:t>）</w:t>
      </w:r>
    </w:p>
    <w:p w14:paraId="3E5FA693">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7.4.1成交人自收到成交通知书之日起5个工作日内向指定账户（成交人需自行与采购人联系，以获得交纳履约担保的账户信息）缴纳履约保证金，待合同履行完毕予以退还，不计利息。</w:t>
      </w:r>
    </w:p>
    <w:p w14:paraId="2EDCBC6F">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7.4.2如果成交人未按照竞争性磋商文件规定交纳有关费用及履约保证金，采购人有权取消该响应。在此情况下采购人可将该标授予其下一个成交候选人，或重新招标。</w:t>
      </w:r>
    </w:p>
    <w:p w14:paraId="79584C8F">
      <w:pPr>
        <w:pStyle w:val="6"/>
        <w:spacing w:before="20" w:after="20" w:line="360" w:lineRule="auto"/>
        <w:rPr>
          <w:rFonts w:hint="eastAsia" w:ascii="宋体" w:hAnsi="宋体" w:eastAsia="宋体" w:cs="宋体"/>
          <w:color w:val="auto"/>
          <w:sz w:val="28"/>
          <w:szCs w:val="28"/>
        </w:rPr>
      </w:pPr>
      <w:bookmarkStart w:id="101" w:name="_Toc18156"/>
      <w:bookmarkStart w:id="102" w:name="_Toc17002"/>
      <w:bookmarkStart w:id="103" w:name="_Toc448070719"/>
      <w:bookmarkStart w:id="104" w:name="_Toc18742"/>
      <w:r>
        <w:rPr>
          <w:rFonts w:hint="eastAsia" w:ascii="宋体" w:hAnsi="宋体" w:eastAsia="宋体" w:cs="宋体"/>
          <w:color w:val="auto"/>
          <w:sz w:val="28"/>
          <w:szCs w:val="28"/>
        </w:rPr>
        <w:t>8．重新采购</w:t>
      </w:r>
      <w:bookmarkEnd w:id="101"/>
      <w:bookmarkEnd w:id="102"/>
      <w:bookmarkEnd w:id="103"/>
      <w:bookmarkEnd w:id="104"/>
    </w:p>
    <w:p w14:paraId="3AFDC2A3">
      <w:pPr>
        <w:spacing w:line="440" w:lineRule="exact"/>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8.1重新采购</w:t>
      </w:r>
    </w:p>
    <w:p w14:paraId="035AF936">
      <w:pPr>
        <w:spacing w:line="440" w:lineRule="exact"/>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1、有下列情形之一的，将对该项目重新采购：</w:t>
      </w:r>
    </w:p>
    <w:p w14:paraId="30B865A6">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(1)响应截止时，供应商少于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个的。</w:t>
      </w:r>
    </w:p>
    <w:p w14:paraId="5506EF63">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(2)经磋商小组评审后否决所有响应的。</w:t>
      </w:r>
    </w:p>
    <w:p w14:paraId="4A677D79">
      <w:pPr>
        <w:pStyle w:val="6"/>
        <w:spacing w:before="20" w:after="2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bookmarkStart w:id="105" w:name="_Toc22868"/>
      <w:bookmarkStart w:id="106" w:name="_Toc10055"/>
      <w:r>
        <w:rPr>
          <w:rFonts w:hint="eastAsia" w:ascii="宋体" w:hAnsi="宋体" w:eastAsia="宋体" w:cs="宋体"/>
          <w:color w:val="auto"/>
          <w:sz w:val="28"/>
          <w:szCs w:val="28"/>
        </w:rPr>
        <w:t>9.知识产权</w:t>
      </w:r>
      <w:bookmarkEnd w:id="105"/>
      <w:bookmarkEnd w:id="106"/>
    </w:p>
    <w:p w14:paraId="4D1591E3">
      <w:pPr>
        <w:spacing w:line="44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1）供应商必须保证，采购人在中华人民共和国境内使用响应货物、资料、技术、服务或其任何一部分时，享有不受限制的无偿使用权，如有第三方向采购人提出侵犯其专利权、商标权或其它知识产权的主张，该责任应由供应商承担。</w:t>
      </w:r>
    </w:p>
    <w:p w14:paraId="14BB927E">
      <w:pPr>
        <w:spacing w:line="44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（2）响应报价应包含所有应向所有权人支付的专利权、商标权或其它知识产权的一切相关费用。</w:t>
      </w:r>
    </w:p>
    <w:p w14:paraId="72A4353B">
      <w:pPr>
        <w:spacing w:line="44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（3）系统软件、通用软件必须是具有在中国境内的合法使用权或版权的正版软件，涉及到第三方提出侵权或知识产权的起诉及支付版税等费用由供应商承担所有责任及费用。</w:t>
      </w:r>
    </w:p>
    <w:p w14:paraId="1C316065">
      <w:pPr>
        <w:pStyle w:val="6"/>
        <w:spacing w:before="20" w:after="2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bookmarkStart w:id="107" w:name="_Toc17119"/>
      <w:bookmarkStart w:id="108" w:name="_Toc448070720"/>
      <w:bookmarkStart w:id="109" w:name="_Toc23111"/>
      <w:bookmarkStart w:id="110" w:name="_Toc22291"/>
      <w:r>
        <w:rPr>
          <w:rFonts w:hint="eastAsia" w:ascii="宋体" w:hAnsi="宋体" w:eastAsia="宋体" w:cs="宋体"/>
          <w:color w:val="auto"/>
          <w:sz w:val="28"/>
          <w:szCs w:val="28"/>
        </w:rPr>
        <w:t>10．纪律和监督</w:t>
      </w:r>
      <w:bookmarkEnd w:id="107"/>
      <w:bookmarkEnd w:id="108"/>
      <w:bookmarkEnd w:id="109"/>
      <w:bookmarkEnd w:id="110"/>
    </w:p>
    <w:p w14:paraId="513ECCF9">
      <w:pPr>
        <w:spacing w:line="440" w:lineRule="exact"/>
        <w:ind w:firstLine="236" w:firstLineChars="98"/>
        <w:rPr>
          <w:rFonts w:hint="eastAsia" w:ascii="宋体" w:hAnsi="宋体" w:eastAsia="宋体" w:cs="宋体"/>
          <w:color w:val="auto"/>
          <w:sz w:val="24"/>
          <w:szCs w:val="24"/>
        </w:rPr>
      </w:pPr>
      <w:r>
        <w:rPr>
          <w:rFonts w:hint="eastAsia" w:ascii="宋体" w:hAnsi="宋体" w:eastAsia="宋体" w:cs="宋体"/>
          <w:b/>
          <w:color w:val="auto"/>
          <w:sz w:val="24"/>
          <w:szCs w:val="24"/>
        </w:rPr>
        <w:t xml:space="preserve"> 10．1对采购人的纪律要求</w:t>
      </w:r>
    </w:p>
    <w:p w14:paraId="4607B1E5">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采购人不得泄漏采购响应活动中应当保密的情况和资料，不得与供应商串通损害国家利益、社会公共利益或者他人合法权益。</w:t>
      </w:r>
    </w:p>
    <w:p w14:paraId="446EEFEB">
      <w:pPr>
        <w:spacing w:line="44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10.2对供应商的纪律要求</w:t>
      </w:r>
    </w:p>
    <w:p w14:paraId="39966422">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供应商不得相互串通响应或者与采购人串通响应，不得与磋商小组成员串通谋取成交，不得以他人名义响应或者以其他方式弄虚作假骗取成交；供应商不得以任何方式干扰、影响磋商工作。参加磋商会人员：本项目的授权委托人或法定代表人（负责人），以上人员须按时到场参加磋商会，否则响应文件不予评审。</w:t>
      </w:r>
    </w:p>
    <w:p w14:paraId="0BD73658">
      <w:pPr>
        <w:spacing w:line="440" w:lineRule="exact"/>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rPr>
        <w:t>10.3对磋商小组成员的纪律要求</w:t>
      </w:r>
    </w:p>
    <w:p w14:paraId="330BC377">
      <w:pPr>
        <w:spacing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磋商小组成员不得与采购人或者供应商串通，滥用职权影响对响应文件的客观公正评审，磋商小组成员不得收受他人的财物或者其他好处，不得向他人透漏对响应文件的评审和比较、成交候选人的推荐情况以及磋商有关的其他情况。在磋商活动中，磋商小组成员不得擅离职守，影响磋商程序正常进行。</w:t>
      </w:r>
    </w:p>
    <w:p w14:paraId="2F64563C">
      <w:pPr>
        <w:spacing w:line="440" w:lineRule="exact"/>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10.4对与磋商活动有关的工作人员的纪律要求</w:t>
      </w:r>
    </w:p>
    <w:p w14:paraId="0CA6BD30">
      <w:pPr>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与磋商活动有关的工作人员不得收受他人的财物或者其他好处，不得向他人透漏对响应文件的评审和比较、成交候选人的推荐情况以及磋商有关的其他情况。在磋商活动中，与磋商活动有关的工作人员不得擅离职守，影响磋商程序正常进行。</w:t>
      </w:r>
    </w:p>
    <w:p w14:paraId="768DD149">
      <w:pPr>
        <w:spacing w:line="440" w:lineRule="exact"/>
        <w:ind w:firstLine="120" w:firstLineChars="50"/>
        <w:rPr>
          <w:rFonts w:hint="eastAsia" w:ascii="宋体" w:hAnsi="宋体" w:eastAsia="宋体" w:cs="宋体"/>
          <w:b/>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10.5质疑、投诉</w:t>
      </w:r>
    </w:p>
    <w:p w14:paraId="55FFC53D">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10.5.1、受理质疑的联系方式：</w:t>
      </w:r>
    </w:p>
    <w:p w14:paraId="6D7A7D41">
      <w:pPr>
        <w:pStyle w:val="20"/>
        <w:spacing w:line="360" w:lineRule="auto"/>
        <w:ind w:firstLine="480" w:firstLineChars="200"/>
        <w:rPr>
          <w:rFonts w:hint="eastAsia" w:ascii="宋体" w:hAnsi="宋体" w:eastAsia="宋体" w:cs="宋体"/>
          <w:bCs/>
          <w:color w:val="auto"/>
          <w:lang w:eastAsia="zh-CN"/>
        </w:rPr>
      </w:pPr>
      <w:r>
        <w:rPr>
          <w:rFonts w:hint="eastAsia" w:ascii="宋体" w:hAnsi="宋体" w:eastAsia="宋体" w:cs="宋体"/>
          <w:bCs/>
          <w:color w:val="auto"/>
        </w:rPr>
        <w:t>采购代理机构：</w:t>
      </w:r>
      <w:r>
        <w:rPr>
          <w:rFonts w:hint="eastAsia" w:ascii="宋体" w:hAnsi="宋体" w:eastAsia="宋体" w:cs="宋体"/>
          <w:bCs/>
          <w:color w:val="auto"/>
          <w:lang w:eastAsia="zh-CN"/>
        </w:rPr>
        <w:t>安徽巍昂工程管理咨询有限公司</w:t>
      </w:r>
    </w:p>
    <w:p w14:paraId="69444998">
      <w:pPr>
        <w:pStyle w:val="20"/>
        <w:spacing w:line="360" w:lineRule="auto"/>
        <w:ind w:firstLine="480" w:firstLineChars="200"/>
        <w:rPr>
          <w:rFonts w:hint="eastAsia" w:ascii="宋体" w:hAnsi="宋体" w:eastAsia="宋体" w:cs="宋体"/>
          <w:bCs/>
          <w:color w:val="auto"/>
        </w:rPr>
      </w:pPr>
      <w:r>
        <w:rPr>
          <w:rFonts w:hint="eastAsia" w:ascii="宋体" w:hAnsi="宋体" w:eastAsia="宋体" w:cs="宋体"/>
          <w:bCs/>
          <w:color w:val="auto"/>
        </w:rPr>
        <w:t>地　　址：</w:t>
      </w:r>
      <w:r>
        <w:rPr>
          <w:rFonts w:hint="eastAsia" w:ascii="宋体" w:hAnsi="宋体" w:eastAsia="宋体" w:cs="宋体"/>
          <w:bCs/>
          <w:color w:val="auto"/>
          <w:lang w:eastAsia="zh-CN"/>
        </w:rPr>
        <w:t>安徽省阜阳市界首市东城天安路36号7栋20</w:t>
      </w:r>
      <w:r>
        <w:rPr>
          <w:rFonts w:hint="eastAsia" w:ascii="宋体" w:hAnsi="宋体" w:eastAsia="宋体" w:cs="宋体"/>
          <w:bCs/>
          <w:color w:val="auto"/>
          <w:lang w:val="en-US" w:eastAsia="zh-CN"/>
        </w:rPr>
        <w:t>2</w:t>
      </w:r>
      <w:r>
        <w:rPr>
          <w:rFonts w:hint="eastAsia" w:ascii="宋体" w:hAnsi="宋体" w:eastAsia="宋体" w:cs="宋体"/>
          <w:bCs/>
          <w:color w:val="auto"/>
          <w:lang w:eastAsia="zh-CN"/>
        </w:rPr>
        <w:t>室</w:t>
      </w:r>
      <w:r>
        <w:rPr>
          <w:rFonts w:hint="eastAsia" w:ascii="宋体" w:hAnsi="宋体" w:eastAsia="宋体" w:cs="宋体"/>
          <w:bCs/>
          <w:color w:val="auto"/>
        </w:rPr>
        <w:t>　</w:t>
      </w:r>
    </w:p>
    <w:p w14:paraId="5E44135F">
      <w:pPr>
        <w:pStyle w:val="20"/>
        <w:spacing w:line="360" w:lineRule="auto"/>
        <w:ind w:firstLine="480" w:firstLineChars="200"/>
        <w:rPr>
          <w:rFonts w:hint="eastAsia" w:ascii="宋体" w:hAnsi="宋体" w:eastAsia="宋体" w:cs="宋体"/>
          <w:bCs/>
          <w:color w:val="auto"/>
        </w:rPr>
      </w:pPr>
      <w:r>
        <w:rPr>
          <w:rFonts w:hint="eastAsia" w:ascii="宋体" w:hAnsi="宋体" w:eastAsia="宋体" w:cs="宋体"/>
          <w:bCs/>
          <w:color w:val="auto"/>
          <w:lang w:eastAsia="zh-CN"/>
        </w:rPr>
        <w:t>联系方式：</w:t>
      </w:r>
      <w:r>
        <w:rPr>
          <w:rFonts w:hint="eastAsia" w:ascii="宋体" w:hAnsi="宋体" w:eastAsia="宋体" w:cs="宋体"/>
          <w:bCs/>
          <w:color w:val="auto"/>
          <w:lang w:val="en-US" w:eastAsia="zh-CN"/>
        </w:rPr>
        <w:t>18134669785</w:t>
      </w:r>
      <w:r>
        <w:rPr>
          <w:rFonts w:hint="eastAsia" w:ascii="宋体" w:hAnsi="宋体" w:eastAsia="宋体" w:cs="宋体"/>
          <w:bCs/>
          <w:color w:val="auto"/>
        </w:rPr>
        <w:t xml:space="preserve"> </w:t>
      </w:r>
    </w:p>
    <w:p w14:paraId="07210FB4">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10.5.2、对竞争性磋商文件的异议（质疑）：</w:t>
      </w:r>
    </w:p>
    <w:p w14:paraId="6E7046FD">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供应商未在本竞争性磋商文件规定的时间内提出澄清要求或未在竞争性磋商文件规定时间前提出异议（质疑）的，视为其对本竞争性磋商文件无异议（质疑），不得在竞争性磋商文件规定时间后对竞争性磋商文件相关内容提出异议（质疑）或投诉。相关部门依法不予受理。 </w:t>
      </w:r>
    </w:p>
    <w:p w14:paraId="783E8049">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10.5.3、对开标过程提出异议（质疑）的，应于开标现场提出。</w:t>
      </w:r>
    </w:p>
    <w:p w14:paraId="6DE5116E">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10.5.4、对磋商结果的异议（质疑）：</w:t>
      </w:r>
    </w:p>
    <w:p w14:paraId="7B5A8C62">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招标响应相关各方对磋商结果有异议（质疑），应在公示期内以书面形式向</w:t>
      </w:r>
      <w:r>
        <w:rPr>
          <w:rFonts w:hint="eastAsia" w:ascii="宋体" w:hAnsi="宋体" w:eastAsia="宋体" w:cs="宋体"/>
          <w:bCs/>
          <w:color w:val="auto"/>
          <w:sz w:val="24"/>
          <w:szCs w:val="24"/>
          <w:lang w:val="en-US" w:eastAsia="zh-CN"/>
        </w:rPr>
        <w:t>招标代理公司</w:t>
      </w:r>
      <w:r>
        <w:rPr>
          <w:rFonts w:hint="eastAsia" w:ascii="宋体" w:hAnsi="宋体" w:eastAsia="宋体" w:cs="宋体"/>
          <w:bCs/>
          <w:color w:val="auto"/>
          <w:sz w:val="24"/>
          <w:szCs w:val="24"/>
        </w:rPr>
        <w:t>或采购人提出。</w:t>
      </w:r>
    </w:p>
    <w:p w14:paraId="61DFB7E9">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（1）书面异议（质疑）材料应当包括以下内容：</w:t>
      </w:r>
    </w:p>
    <w:p w14:paraId="3916B841">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①提出异议（质疑）的供应商的名称、地址及有效联系方式；</w:t>
      </w:r>
    </w:p>
    <w:p w14:paraId="0549D3ED">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②异议（质疑）对象的供应商的名称；</w:t>
      </w:r>
    </w:p>
    <w:p w14:paraId="2B774EA9">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③异议（质疑）事项的基本事实；</w:t>
      </w:r>
    </w:p>
    <w:p w14:paraId="14BAE69F">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④相关请求和主张；</w:t>
      </w:r>
    </w:p>
    <w:p w14:paraId="072B4FCC">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⑤有效线索和相关证明材料；</w:t>
      </w:r>
    </w:p>
    <w:p w14:paraId="7AECE15D">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⑥提出异议（质疑）的供应商是法人的，异议（质疑）材料必须由其法定代表人（负责人）签字并加盖单位公章，并附法定代表人（负责人）及其委托联系人的有效身份证明复印件、注明联系方式；其他组织或者自然人提出异议（质疑）的，异议（质疑）材料必须由其主要负责人签字（有公章的须单位加盖公章），并附主要负责人及其委托联系人的有效身份证明复印件、注明联系方式。异议（质疑）有关材料是外文的，应当同时提供其中文译本。</w:t>
      </w:r>
    </w:p>
    <w:p w14:paraId="7D77DA4D">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（2）有下列情形的异议（质疑）材料不予受理：</w:t>
      </w:r>
    </w:p>
    <w:p w14:paraId="4060E195">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①书面异议（质疑）材料不完整的；</w:t>
      </w:r>
    </w:p>
    <w:p w14:paraId="476DCBD8">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②异议（质疑）事项含有主观猜测等内容且无充分有效证据的；</w:t>
      </w:r>
    </w:p>
    <w:p w14:paraId="0D311613">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③对其他供应商的响应文件详细内容异议（质疑），无法提供合法来源渠道的；</w:t>
      </w:r>
    </w:p>
    <w:p w14:paraId="391FF0DF">
      <w:pPr>
        <w:snapToGrid w:val="0"/>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④违反相关法律法规的。</w:t>
      </w:r>
    </w:p>
    <w:p w14:paraId="4C5D4F6D">
      <w:pPr>
        <w:tabs>
          <w:tab w:val="left" w:pos="0"/>
        </w:tabs>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10.5.5投诉人有下列情形之一的，属于虚假、恶意投诉，招标采购监督管理部门将驳回投诉，将其列入不良行为记录名单，记入“不守信响应记录档案”，并在相关网络平台公告，同时将报请行政监管部门处理。</w:t>
      </w:r>
    </w:p>
    <w:p w14:paraId="423B6268">
      <w:pPr>
        <w:tabs>
          <w:tab w:val="left" w:pos="0"/>
        </w:tabs>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①一年内三次以上投诉均查无实据的；</w:t>
      </w:r>
    </w:p>
    <w:p w14:paraId="26877E1C">
      <w:pPr>
        <w:tabs>
          <w:tab w:val="left" w:pos="0"/>
        </w:tabs>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②捏造事实或者提供虚假投诉材料的；</w:t>
      </w:r>
    </w:p>
    <w:p w14:paraId="479D5E90">
      <w:pPr>
        <w:tabs>
          <w:tab w:val="left" w:pos="0"/>
        </w:tabs>
        <w:spacing w:line="360" w:lineRule="auto"/>
        <w:ind w:firstLine="480" w:firstLineChars="200"/>
        <w:rPr>
          <w:rFonts w:hint="eastAsia" w:ascii="宋体" w:hAnsi="宋体" w:eastAsia="宋体" w:cs="宋体"/>
          <w:bCs/>
          <w:color w:val="auto"/>
        </w:rPr>
      </w:pPr>
      <w:r>
        <w:rPr>
          <w:rFonts w:hint="eastAsia" w:ascii="宋体" w:hAnsi="宋体" w:eastAsia="宋体" w:cs="宋体"/>
          <w:bCs/>
          <w:color w:val="auto"/>
          <w:sz w:val="24"/>
          <w:szCs w:val="24"/>
        </w:rPr>
        <w:t>③其他经认定属于虚假、恶意投诉的行为。</w:t>
      </w:r>
    </w:p>
    <w:p w14:paraId="2B79EEC9">
      <w:pPr>
        <w:pStyle w:val="44"/>
        <w:spacing w:before="0" w:line="360" w:lineRule="auto"/>
        <w:jc w:val="center"/>
        <w:rPr>
          <w:rFonts w:hint="eastAsia" w:ascii="宋体" w:hAnsi="宋体" w:eastAsia="宋体" w:cs="宋体"/>
          <w:b/>
          <w:color w:val="auto"/>
          <w:sz w:val="24"/>
          <w:szCs w:val="24"/>
        </w:rPr>
      </w:pPr>
      <w:bookmarkStart w:id="111" w:name="_Toc13310"/>
      <w:bookmarkStart w:id="112" w:name="_Toc27029"/>
      <w:bookmarkStart w:id="113" w:name="_Toc7324"/>
      <w:bookmarkStart w:id="114" w:name="_Toc448070722"/>
      <w:r>
        <w:rPr>
          <w:rFonts w:hint="eastAsia" w:ascii="宋体" w:hAnsi="宋体" w:eastAsia="宋体" w:cs="宋体"/>
          <w:b/>
          <w:color w:val="auto"/>
          <w:sz w:val="24"/>
          <w:szCs w:val="24"/>
        </w:rPr>
        <w:t>11．解释权</w:t>
      </w:r>
      <w:bookmarkEnd w:id="111"/>
      <w:bookmarkEnd w:id="112"/>
      <w:bookmarkEnd w:id="113"/>
      <w:bookmarkEnd w:id="114"/>
    </w:p>
    <w:p w14:paraId="402C7FE0">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12.1本竞争性磋商文件的解释权属于采购人。</w:t>
      </w:r>
    </w:p>
    <w:p w14:paraId="6D890205">
      <w:pPr>
        <w:spacing w:line="440" w:lineRule="exact"/>
        <w:ind w:firstLine="549"/>
        <w:rPr>
          <w:rFonts w:hint="eastAsia" w:ascii="宋体" w:hAnsi="宋体" w:eastAsia="宋体" w:cs="宋体"/>
          <w:color w:val="auto"/>
          <w:sz w:val="24"/>
          <w:szCs w:val="24"/>
        </w:rPr>
      </w:pPr>
      <w:r>
        <w:rPr>
          <w:rFonts w:hint="eastAsia" w:ascii="宋体" w:hAnsi="宋体" w:eastAsia="宋体" w:cs="宋体"/>
          <w:color w:val="auto"/>
          <w:sz w:val="24"/>
          <w:szCs w:val="24"/>
        </w:rPr>
        <w:t>12.2未尽事宜，按有关法律法规的规定执行。</w:t>
      </w:r>
    </w:p>
    <w:p w14:paraId="0651BBFE">
      <w:pPr>
        <w:spacing w:line="420" w:lineRule="exact"/>
        <w:ind w:firstLine="470" w:firstLineChars="147"/>
        <w:jc w:val="both"/>
        <w:rPr>
          <w:rFonts w:hint="eastAsia" w:ascii="宋体" w:hAnsi="宋体" w:eastAsia="宋体" w:cs="宋体"/>
          <w:color w:val="auto"/>
          <w:sz w:val="24"/>
        </w:rPr>
        <w:sectPr>
          <w:headerReference r:id="rId4" w:type="default"/>
          <w:footerReference r:id="rId5" w:type="default"/>
          <w:pgSz w:w="11907" w:h="16840"/>
          <w:pgMar w:top="1440" w:right="1480" w:bottom="1440" w:left="1593" w:header="851" w:footer="882" w:gutter="0"/>
          <w:pgNumType w:fmt="decimal"/>
          <w:cols w:space="720" w:num="1"/>
          <w:docGrid w:linePitch="303" w:charSpace="0"/>
        </w:sectPr>
      </w:pPr>
      <w:bookmarkStart w:id="115" w:name="_Toc15058"/>
      <w:r>
        <w:rPr>
          <w:rFonts w:hint="eastAsia" w:ascii="宋体" w:hAnsi="宋体" w:eastAsia="宋体" w:cs="宋体"/>
          <w:color w:val="auto"/>
          <w:sz w:val="32"/>
          <w:szCs w:val="32"/>
        </w:rPr>
        <w:br w:type="page"/>
      </w:r>
      <w:bookmarkEnd w:id="46"/>
      <w:bookmarkEnd w:id="47"/>
      <w:bookmarkEnd w:id="115"/>
      <w:bookmarkStart w:id="116" w:name="_Toc7895_WPSOffice_Level1"/>
    </w:p>
    <w:p w14:paraId="21A63B6C">
      <w:pPr>
        <w:spacing w:line="420" w:lineRule="exact"/>
        <w:ind w:firstLine="531" w:firstLineChars="147"/>
        <w:jc w:val="center"/>
        <w:outlineLvl w:val="0"/>
        <w:rPr>
          <w:rFonts w:hint="eastAsia" w:ascii="宋体" w:hAnsi="宋体" w:eastAsia="宋体" w:cs="宋体"/>
          <w:color w:val="auto"/>
          <w:sz w:val="36"/>
          <w:highlight w:val="none"/>
        </w:rPr>
      </w:pPr>
      <w:bookmarkStart w:id="117" w:name="_Toc9680"/>
      <w:r>
        <w:rPr>
          <w:rFonts w:hint="eastAsia" w:ascii="宋体" w:hAnsi="宋体" w:eastAsia="宋体" w:cs="宋体"/>
          <w:b/>
          <w:color w:val="auto"/>
          <w:sz w:val="36"/>
          <w:szCs w:val="22"/>
          <w:highlight w:val="none"/>
        </w:rPr>
        <w:t>第</w:t>
      </w:r>
      <w:r>
        <w:rPr>
          <w:rFonts w:hint="eastAsia" w:ascii="宋体" w:hAnsi="宋体" w:eastAsia="宋体" w:cs="宋体"/>
          <w:b/>
          <w:color w:val="auto"/>
          <w:sz w:val="36"/>
          <w:szCs w:val="22"/>
          <w:highlight w:val="none"/>
          <w:lang w:eastAsia="zh-CN"/>
        </w:rPr>
        <w:t>三</w:t>
      </w:r>
      <w:r>
        <w:rPr>
          <w:rFonts w:hint="eastAsia" w:ascii="宋体" w:hAnsi="宋体" w:eastAsia="宋体" w:cs="宋体"/>
          <w:b/>
          <w:color w:val="auto"/>
          <w:sz w:val="36"/>
          <w:szCs w:val="22"/>
          <w:highlight w:val="none"/>
        </w:rPr>
        <w:t xml:space="preserve">章  </w:t>
      </w:r>
      <w:r>
        <w:rPr>
          <w:rFonts w:hint="eastAsia" w:ascii="宋体" w:hAnsi="宋体" w:eastAsia="宋体" w:cs="宋体"/>
          <w:b/>
          <w:color w:val="auto"/>
          <w:sz w:val="36"/>
          <w:highlight w:val="none"/>
          <w:lang w:val="en-US" w:eastAsia="zh-CN"/>
        </w:rPr>
        <w:t>采购需求</w:t>
      </w:r>
      <w:bookmarkEnd w:id="116"/>
      <w:bookmarkEnd w:id="117"/>
    </w:p>
    <w:p w14:paraId="7781A098">
      <w:pPr>
        <w:pStyle w:val="6"/>
        <w:ind w:left="3114" w:right="3251"/>
        <w:jc w:val="center"/>
        <w:rPr>
          <w:rFonts w:hint="eastAsia" w:ascii="宋体" w:hAnsi="宋体" w:eastAsia="宋体" w:cs="宋体"/>
          <w:b/>
          <w:bCs/>
          <w:color w:val="auto"/>
          <w:sz w:val="32"/>
          <w:szCs w:val="32"/>
          <w:lang w:eastAsia="zh-CN"/>
        </w:rPr>
      </w:pPr>
      <w:bookmarkStart w:id="118" w:name="二、项目概况"/>
      <w:bookmarkEnd w:id="118"/>
      <w:r>
        <w:rPr>
          <w:rFonts w:hint="eastAsia" w:ascii="宋体" w:hAnsi="宋体" w:eastAsia="宋体" w:cs="宋体"/>
          <w:color w:val="auto"/>
          <w:sz w:val="28"/>
          <w:szCs w:val="28"/>
          <w:lang w:eastAsia="zh-CN"/>
        </w:rPr>
        <w:t>前注：</w:t>
      </w:r>
    </w:p>
    <w:p w14:paraId="257AF88D">
      <w:pPr>
        <w:spacing w:before="10"/>
        <w:ind w:firstLine="630" w:firstLineChars="300"/>
        <w:rPr>
          <w:rFonts w:hint="eastAsia" w:ascii="宋体" w:hAnsi="宋体" w:eastAsia="宋体" w:cs="宋体"/>
          <w:b/>
          <w:bCs/>
          <w:color w:val="auto"/>
          <w:sz w:val="36"/>
          <w:szCs w:val="36"/>
        </w:rPr>
      </w:pPr>
      <w:r>
        <w:rPr>
          <w:rFonts w:hint="eastAsia" w:ascii="宋体" w:hAnsi="宋体" w:eastAsia="宋体" w:cs="宋体"/>
          <w:color w:val="auto"/>
          <w:lang w:eastAsia="zh-CN"/>
        </w:rPr>
        <w:t>本说明中提出的技术方案仅为参考，如无明确限制，供应商可以进行优化，提供满足</w:t>
      </w:r>
      <w:r>
        <w:rPr>
          <w:rFonts w:hint="eastAsia" w:ascii="宋体" w:hAnsi="宋体" w:eastAsia="宋体" w:cs="宋体"/>
          <w:color w:val="auto"/>
          <w:spacing w:val="-2"/>
          <w:lang w:eastAsia="zh-CN"/>
        </w:rPr>
        <w:t>用户实际需要的更优（或者性能实质上不低于的）服务方案，且此方案须经磋商小组评审认</w:t>
      </w:r>
      <w:r>
        <w:rPr>
          <w:rFonts w:hint="eastAsia" w:ascii="宋体" w:hAnsi="宋体" w:eastAsia="宋体" w:cs="宋体"/>
          <w:color w:val="auto"/>
          <w:lang w:eastAsia="zh-CN"/>
        </w:rPr>
        <w:t>可。</w:t>
      </w:r>
    </w:p>
    <w:p w14:paraId="43C389E1">
      <w:pPr>
        <w:pStyle w:val="6"/>
        <w:spacing w:before="14"/>
        <w:ind w:left="3113" w:right="3251"/>
        <w:jc w:val="center"/>
        <w:rPr>
          <w:rFonts w:hint="eastAsia" w:ascii="宋体" w:hAnsi="宋体" w:eastAsia="宋体" w:cs="宋体"/>
          <w:b/>
          <w:bCs/>
          <w:color w:val="auto"/>
          <w:kern w:val="2"/>
          <w:sz w:val="28"/>
          <w:szCs w:val="28"/>
          <w:lang w:val="en-US" w:eastAsia="zh-CN" w:bidi="ar-SA"/>
        </w:rPr>
      </w:pPr>
    </w:p>
    <w:p w14:paraId="2C847F9F">
      <w:pPr>
        <w:pStyle w:val="6"/>
        <w:spacing w:before="14"/>
        <w:ind w:left="3113" w:right="3251"/>
        <w:jc w:val="center"/>
        <w:rPr>
          <w:rFonts w:hint="eastAsia" w:ascii="宋体" w:hAnsi="宋体" w:eastAsia="宋体" w:cs="宋体"/>
          <w:b/>
          <w:bCs/>
          <w:color w:val="auto"/>
          <w:kern w:val="2"/>
          <w:sz w:val="28"/>
          <w:szCs w:val="28"/>
          <w:lang w:val="en-US" w:eastAsia="zh-CN" w:bidi="ar-SA"/>
        </w:rPr>
      </w:pPr>
      <w:r>
        <w:rPr>
          <w:rFonts w:hint="eastAsia" w:ascii="宋体" w:hAnsi="宋体" w:eastAsia="宋体" w:cs="宋体"/>
          <w:b/>
          <w:bCs/>
          <w:color w:val="auto"/>
          <w:kern w:val="2"/>
          <w:sz w:val="28"/>
          <w:szCs w:val="28"/>
          <w:lang w:val="en-US" w:eastAsia="zh-CN" w:bidi="ar-SA"/>
        </w:rPr>
        <w:t>一、采购需求前附表</w:t>
      </w:r>
    </w:p>
    <w:p w14:paraId="41CA8201">
      <w:pPr>
        <w:spacing w:before="9"/>
        <w:rPr>
          <w:rFonts w:hint="eastAsia" w:ascii="宋体" w:hAnsi="宋体" w:eastAsia="宋体" w:cs="宋体"/>
          <w:b/>
          <w:bCs/>
          <w:color w:val="auto"/>
          <w:sz w:val="10"/>
          <w:szCs w:val="10"/>
        </w:rPr>
      </w:pPr>
    </w:p>
    <w:tbl>
      <w:tblPr>
        <w:tblStyle w:val="24"/>
        <w:tblW w:w="8498" w:type="dxa"/>
        <w:tblInd w:w="237" w:type="dxa"/>
        <w:tblLayout w:type="fixed"/>
        <w:tblCellMar>
          <w:top w:w="0" w:type="dxa"/>
          <w:left w:w="0" w:type="dxa"/>
          <w:bottom w:w="0" w:type="dxa"/>
          <w:right w:w="0" w:type="dxa"/>
        </w:tblCellMar>
      </w:tblPr>
      <w:tblGrid>
        <w:gridCol w:w="1003"/>
        <w:gridCol w:w="1732"/>
        <w:gridCol w:w="5763"/>
      </w:tblGrid>
      <w:tr w14:paraId="35C69EF6">
        <w:tblPrEx>
          <w:tblCellMar>
            <w:top w:w="0" w:type="dxa"/>
            <w:left w:w="0" w:type="dxa"/>
            <w:bottom w:w="0" w:type="dxa"/>
            <w:right w:w="0" w:type="dxa"/>
          </w:tblCellMar>
        </w:tblPrEx>
        <w:trPr>
          <w:trHeight w:val="514" w:hRule="exact"/>
        </w:trPr>
        <w:tc>
          <w:tcPr>
            <w:tcW w:w="1003" w:type="dxa"/>
            <w:tcBorders>
              <w:top w:val="single" w:color="000000" w:sz="4" w:space="0"/>
              <w:left w:val="single" w:color="000000" w:sz="4" w:space="0"/>
              <w:bottom w:val="single" w:color="000000" w:sz="4" w:space="0"/>
              <w:right w:val="single" w:color="000000" w:sz="4" w:space="0"/>
            </w:tcBorders>
            <w:noWrap w:val="0"/>
            <w:vAlign w:val="top"/>
          </w:tcPr>
          <w:p w14:paraId="65362BA6">
            <w:pPr>
              <w:pStyle w:val="37"/>
              <w:spacing w:before="62"/>
              <w:ind w:left="110"/>
              <w:jc w:val="center"/>
              <w:rPr>
                <w:rFonts w:hint="eastAsia" w:ascii="宋体" w:hAnsi="宋体" w:eastAsia="宋体" w:cs="宋体"/>
                <w:color w:val="auto"/>
                <w:sz w:val="21"/>
                <w:szCs w:val="21"/>
              </w:rPr>
            </w:pPr>
            <w:r>
              <w:rPr>
                <w:rFonts w:hint="eastAsia" w:ascii="宋体" w:hAnsi="宋体" w:eastAsia="宋体" w:cs="宋体"/>
                <w:b/>
                <w:bCs/>
                <w:color w:val="auto"/>
                <w:sz w:val="21"/>
                <w:szCs w:val="21"/>
              </w:rPr>
              <w:t>序号</w:t>
            </w:r>
            <w:r>
              <w:rPr>
                <w:rFonts w:hint="eastAsia" w:ascii="宋体" w:hAnsi="宋体" w:eastAsia="宋体" w:cs="宋体"/>
                <w:b/>
                <w:bCs/>
                <w:color w:val="auto"/>
                <w:w w:val="99"/>
                <w:sz w:val="21"/>
                <w:szCs w:val="21"/>
              </w:rPr>
              <w:t xml:space="preserve"> </w:t>
            </w:r>
          </w:p>
        </w:tc>
        <w:tc>
          <w:tcPr>
            <w:tcW w:w="1732" w:type="dxa"/>
            <w:tcBorders>
              <w:top w:val="single" w:color="000000" w:sz="4" w:space="0"/>
              <w:left w:val="single" w:color="000000" w:sz="4" w:space="0"/>
              <w:bottom w:val="single" w:color="000000" w:sz="4" w:space="0"/>
              <w:right w:val="single" w:color="000000" w:sz="4" w:space="0"/>
            </w:tcBorders>
            <w:noWrap w:val="0"/>
            <w:vAlign w:val="top"/>
          </w:tcPr>
          <w:p w14:paraId="2D3E2C9F">
            <w:pPr>
              <w:pStyle w:val="37"/>
              <w:spacing w:line="260" w:lineRule="exact"/>
              <w:ind w:right="475"/>
              <w:jc w:val="right"/>
              <w:rPr>
                <w:rFonts w:hint="eastAsia" w:ascii="宋体" w:hAnsi="宋体" w:eastAsia="宋体" w:cs="宋体"/>
                <w:color w:val="auto"/>
                <w:sz w:val="21"/>
                <w:szCs w:val="21"/>
              </w:rPr>
            </w:pPr>
            <w:r>
              <w:rPr>
                <w:rFonts w:hint="eastAsia" w:ascii="宋体" w:hAnsi="宋体" w:eastAsia="宋体" w:cs="宋体"/>
                <w:b/>
                <w:bCs/>
                <w:color w:val="auto"/>
                <w:spacing w:val="-1"/>
                <w:sz w:val="21"/>
                <w:szCs w:val="21"/>
              </w:rPr>
              <w:t>条款名称</w:t>
            </w:r>
            <w:r>
              <w:rPr>
                <w:rFonts w:hint="eastAsia" w:ascii="宋体" w:hAnsi="宋体" w:eastAsia="宋体" w:cs="宋体"/>
                <w:b/>
                <w:bCs/>
                <w:color w:val="auto"/>
                <w:w w:val="99"/>
                <w:sz w:val="21"/>
                <w:szCs w:val="21"/>
              </w:rPr>
              <w:t xml:space="preserve"> </w:t>
            </w:r>
          </w:p>
        </w:tc>
        <w:tc>
          <w:tcPr>
            <w:tcW w:w="5763" w:type="dxa"/>
            <w:tcBorders>
              <w:top w:val="single" w:color="000000" w:sz="4" w:space="0"/>
              <w:left w:val="single" w:color="000000" w:sz="4" w:space="0"/>
              <w:bottom w:val="single" w:color="000000" w:sz="4" w:space="0"/>
              <w:right w:val="single" w:color="000000" w:sz="4" w:space="0"/>
            </w:tcBorders>
            <w:noWrap w:val="0"/>
            <w:vAlign w:val="top"/>
          </w:tcPr>
          <w:p w14:paraId="6DACD44B">
            <w:pPr>
              <w:pStyle w:val="37"/>
              <w:spacing w:line="260" w:lineRule="exact"/>
              <w:ind w:left="1769"/>
              <w:rPr>
                <w:rFonts w:hint="eastAsia" w:ascii="宋体" w:hAnsi="宋体" w:eastAsia="宋体" w:cs="宋体"/>
                <w:color w:val="auto"/>
                <w:sz w:val="21"/>
                <w:szCs w:val="21"/>
              </w:rPr>
            </w:pPr>
            <w:r>
              <w:rPr>
                <w:rFonts w:hint="eastAsia" w:ascii="宋体" w:hAnsi="宋体" w:eastAsia="宋体" w:cs="宋体"/>
                <w:b/>
                <w:bCs/>
                <w:color w:val="auto"/>
                <w:sz w:val="21"/>
                <w:szCs w:val="21"/>
              </w:rPr>
              <w:t>内容、说明与要求</w:t>
            </w:r>
            <w:r>
              <w:rPr>
                <w:rFonts w:hint="eastAsia" w:ascii="宋体" w:hAnsi="宋体" w:eastAsia="宋体" w:cs="宋体"/>
                <w:b/>
                <w:bCs/>
                <w:color w:val="auto"/>
                <w:w w:val="99"/>
                <w:sz w:val="21"/>
                <w:szCs w:val="21"/>
              </w:rPr>
              <w:t xml:space="preserve"> </w:t>
            </w:r>
          </w:p>
        </w:tc>
      </w:tr>
      <w:tr w14:paraId="41B66E1C">
        <w:tblPrEx>
          <w:tblCellMar>
            <w:top w:w="0" w:type="dxa"/>
            <w:left w:w="0" w:type="dxa"/>
            <w:bottom w:w="0" w:type="dxa"/>
            <w:right w:w="0" w:type="dxa"/>
          </w:tblCellMar>
        </w:tblPrEx>
        <w:trPr>
          <w:trHeight w:val="1383" w:hRule="exact"/>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31E481F0">
            <w:pPr>
              <w:pStyle w:val="37"/>
              <w:spacing w:before="59"/>
              <w:ind w:left="115"/>
              <w:jc w:val="center"/>
              <w:rPr>
                <w:rFonts w:hint="eastAsia" w:ascii="宋体" w:hAnsi="宋体" w:eastAsia="宋体" w:cs="宋体"/>
                <w:color w:val="auto"/>
                <w:sz w:val="21"/>
                <w:szCs w:val="21"/>
              </w:rPr>
            </w:pPr>
            <w:r>
              <w:rPr>
                <w:rFonts w:hint="eastAsia" w:ascii="宋体" w:hAnsi="宋体" w:eastAsia="宋体" w:cs="宋体"/>
                <w:color w:val="auto"/>
                <w:sz w:val="21"/>
              </w:rPr>
              <w:t>1</w:t>
            </w: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6B3A8435">
            <w:pPr>
              <w:pStyle w:val="37"/>
              <w:spacing w:line="255" w:lineRule="exact"/>
              <w:ind w:right="475"/>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付款方式</w:t>
            </w:r>
          </w:p>
        </w:tc>
        <w:tc>
          <w:tcPr>
            <w:tcW w:w="5763" w:type="dxa"/>
            <w:tcBorders>
              <w:top w:val="single" w:color="000000" w:sz="4" w:space="0"/>
              <w:left w:val="single" w:color="000000" w:sz="4" w:space="0"/>
              <w:bottom w:val="single" w:color="000000" w:sz="4" w:space="0"/>
              <w:right w:val="single" w:color="000000" w:sz="4" w:space="0"/>
            </w:tcBorders>
            <w:noWrap w:val="0"/>
            <w:vAlign w:val="top"/>
          </w:tcPr>
          <w:p w14:paraId="0A4F9864">
            <w:pPr>
              <w:numPr>
                <w:ilvl w:val="0"/>
                <w:numId w:val="0"/>
              </w:numPr>
              <w:autoSpaceDE w:val="0"/>
              <w:autoSpaceDN w:val="0"/>
              <w:adjustRightInd w:val="0"/>
              <w:spacing w:line="380" w:lineRule="exact"/>
              <w:jc w:val="left"/>
              <w:textAlignment w:val="center"/>
              <w:rPr>
                <w:rFonts w:hint="eastAsia" w:ascii="宋体" w:hAnsi="宋体" w:eastAsia="宋体" w:cs="宋体"/>
                <w:color w:val="auto"/>
                <w:sz w:val="21"/>
                <w:szCs w:val="21"/>
                <w:highlight w:val="none"/>
                <w:lang w:eastAsia="en-US"/>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en-US"/>
              </w:rPr>
              <w:t>设计单位完成方案设计后付至合同价款的20%；</w:t>
            </w:r>
          </w:p>
          <w:p w14:paraId="5075EDF5">
            <w:pPr>
              <w:numPr>
                <w:ilvl w:val="0"/>
                <w:numId w:val="0"/>
              </w:numPr>
              <w:autoSpaceDE w:val="0"/>
              <w:autoSpaceDN w:val="0"/>
              <w:adjustRightInd w:val="0"/>
              <w:spacing w:line="380" w:lineRule="exact"/>
              <w:jc w:val="left"/>
              <w:textAlignment w:val="center"/>
              <w:rPr>
                <w:rFonts w:hint="eastAsia" w:ascii="宋体" w:hAnsi="宋体" w:eastAsia="宋体" w:cs="宋体"/>
                <w:color w:val="auto"/>
                <w:kern w:val="0"/>
                <w:sz w:val="21"/>
                <w:szCs w:val="21"/>
                <w:lang w:val="en-US" w:eastAsia="zh-CN" w:bidi="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en-US"/>
              </w:rPr>
              <w:t>完成施工图设计</w:t>
            </w:r>
            <w:r>
              <w:rPr>
                <w:rFonts w:hint="eastAsia" w:ascii="宋体" w:hAnsi="宋体" w:cs="宋体"/>
                <w:color w:val="auto"/>
                <w:sz w:val="21"/>
                <w:szCs w:val="21"/>
                <w:highlight w:val="none"/>
                <w:lang w:eastAsia="zh-CN"/>
              </w:rPr>
              <w:t>并经审查合格后</w:t>
            </w:r>
            <w:r>
              <w:rPr>
                <w:rFonts w:hint="eastAsia" w:ascii="宋体" w:hAnsi="宋体" w:eastAsia="宋体" w:cs="宋体"/>
                <w:color w:val="auto"/>
                <w:sz w:val="21"/>
                <w:szCs w:val="21"/>
                <w:highlight w:val="none"/>
                <w:lang w:eastAsia="en-US"/>
              </w:rPr>
              <w:t>付至合同价款的</w:t>
            </w:r>
            <w:r>
              <w:rPr>
                <w:rFonts w:hint="eastAsia" w:ascii="宋体" w:hAnsi="宋体" w:cs="宋体"/>
                <w:color w:val="auto"/>
                <w:sz w:val="21"/>
                <w:szCs w:val="21"/>
                <w:highlight w:val="none"/>
                <w:lang w:val="en-US" w:eastAsia="zh-CN"/>
              </w:rPr>
              <w:t>60</w:t>
            </w:r>
            <w:r>
              <w:rPr>
                <w:rFonts w:hint="eastAsia" w:ascii="宋体" w:hAnsi="宋体" w:eastAsia="宋体" w:cs="宋体"/>
                <w:color w:val="auto"/>
                <w:sz w:val="21"/>
                <w:szCs w:val="21"/>
                <w:highlight w:val="none"/>
                <w:lang w:eastAsia="en-US"/>
              </w:rPr>
              <w:t>%；</w:t>
            </w:r>
          </w:p>
          <w:p w14:paraId="5836F7CE">
            <w:pPr>
              <w:pStyle w:val="37"/>
              <w:numPr>
                <w:ilvl w:val="0"/>
                <w:numId w:val="0"/>
              </w:numPr>
              <w:spacing w:line="360" w:lineRule="auto"/>
              <w:rPr>
                <w:rFonts w:hint="eastAsia" w:ascii="宋体" w:hAnsi="宋体" w:eastAsia="宋体" w:cs="宋体"/>
                <w:color w:val="auto"/>
                <w:sz w:val="21"/>
                <w:szCs w:val="21"/>
              </w:rPr>
            </w:pPr>
            <w:r>
              <w:rPr>
                <w:rFonts w:hint="eastAsia" w:cs="宋体"/>
                <w:color w:val="auto"/>
                <w:sz w:val="21"/>
                <w:szCs w:val="21"/>
                <w:highlight w:val="none"/>
                <w:lang w:eastAsia="zh-CN"/>
              </w:rPr>
              <w:t>（</w:t>
            </w:r>
            <w:r>
              <w:rPr>
                <w:rFonts w:hint="eastAsia" w:cs="宋体"/>
                <w:color w:val="auto"/>
                <w:sz w:val="21"/>
                <w:szCs w:val="21"/>
                <w:highlight w:val="none"/>
                <w:lang w:val="en-US" w:eastAsia="zh-CN"/>
              </w:rPr>
              <w:t>3</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lang w:eastAsia="en-US"/>
              </w:rPr>
              <w:t>工程竣工验收合格后付至合同价款的</w:t>
            </w:r>
            <w:r>
              <w:rPr>
                <w:rFonts w:hint="eastAsia" w:ascii="宋体" w:hAnsi="宋体" w:cs="宋体"/>
                <w:color w:val="auto"/>
                <w:sz w:val="21"/>
                <w:szCs w:val="21"/>
                <w:highlight w:val="none"/>
                <w:lang w:val="en-US" w:eastAsia="zh-CN"/>
              </w:rPr>
              <w:t>100</w:t>
            </w:r>
            <w:r>
              <w:rPr>
                <w:rFonts w:hint="eastAsia" w:ascii="宋体" w:hAnsi="宋体" w:eastAsia="宋体" w:cs="宋体"/>
                <w:color w:val="auto"/>
                <w:sz w:val="21"/>
                <w:szCs w:val="21"/>
                <w:highlight w:val="none"/>
                <w:lang w:eastAsia="en-US"/>
              </w:rPr>
              <w:t>%</w:t>
            </w:r>
            <w:r>
              <w:rPr>
                <w:rFonts w:hint="eastAsia" w:ascii="宋体" w:hAnsi="宋体" w:cs="宋体"/>
                <w:color w:val="auto"/>
                <w:sz w:val="21"/>
                <w:szCs w:val="21"/>
                <w:highlight w:val="none"/>
                <w:lang w:eastAsia="zh-CN"/>
              </w:rPr>
              <w:t>。</w:t>
            </w:r>
          </w:p>
        </w:tc>
      </w:tr>
      <w:tr w14:paraId="4287DF49">
        <w:tblPrEx>
          <w:tblCellMar>
            <w:top w:w="0" w:type="dxa"/>
            <w:left w:w="0" w:type="dxa"/>
            <w:bottom w:w="0" w:type="dxa"/>
            <w:right w:w="0" w:type="dxa"/>
          </w:tblCellMar>
        </w:tblPrEx>
        <w:trPr>
          <w:trHeight w:val="514" w:hRule="exact"/>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42B39AA9">
            <w:pPr>
              <w:pStyle w:val="37"/>
              <w:spacing w:before="60"/>
              <w:ind w:left="115"/>
              <w:jc w:val="center"/>
              <w:rPr>
                <w:rFonts w:hint="eastAsia" w:ascii="宋体" w:hAnsi="宋体" w:eastAsia="宋体" w:cs="宋体"/>
                <w:color w:val="auto"/>
                <w:sz w:val="21"/>
                <w:szCs w:val="21"/>
              </w:rPr>
            </w:pPr>
            <w:r>
              <w:rPr>
                <w:rFonts w:hint="eastAsia" w:ascii="宋体" w:hAnsi="宋体" w:eastAsia="宋体" w:cs="宋体"/>
                <w:color w:val="auto"/>
                <w:sz w:val="21"/>
              </w:rPr>
              <w:t>2</w:t>
            </w: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095D80B6">
            <w:pPr>
              <w:pStyle w:val="37"/>
              <w:spacing w:line="255" w:lineRule="exact"/>
              <w:ind w:right="475"/>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服务地点</w:t>
            </w:r>
          </w:p>
        </w:tc>
        <w:tc>
          <w:tcPr>
            <w:tcW w:w="5763" w:type="dxa"/>
            <w:tcBorders>
              <w:top w:val="single" w:color="000000" w:sz="4" w:space="0"/>
              <w:left w:val="single" w:color="000000" w:sz="4" w:space="0"/>
              <w:bottom w:val="single" w:color="000000" w:sz="4" w:space="0"/>
              <w:right w:val="single" w:color="000000" w:sz="4" w:space="0"/>
            </w:tcBorders>
            <w:noWrap w:val="0"/>
            <w:vAlign w:val="top"/>
          </w:tcPr>
          <w:p w14:paraId="253C9930">
            <w:pPr>
              <w:pStyle w:val="37"/>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采购人指定地点</w:t>
            </w:r>
          </w:p>
        </w:tc>
      </w:tr>
      <w:tr w14:paraId="076FCFDD">
        <w:tblPrEx>
          <w:tblCellMar>
            <w:top w:w="0" w:type="dxa"/>
            <w:left w:w="0" w:type="dxa"/>
            <w:bottom w:w="0" w:type="dxa"/>
            <w:right w:w="0" w:type="dxa"/>
          </w:tblCellMar>
        </w:tblPrEx>
        <w:trPr>
          <w:trHeight w:val="1309" w:hRule="exact"/>
        </w:trPr>
        <w:tc>
          <w:tcPr>
            <w:tcW w:w="1003" w:type="dxa"/>
            <w:tcBorders>
              <w:top w:val="single" w:color="000000" w:sz="4" w:space="0"/>
              <w:left w:val="single" w:color="000000" w:sz="4" w:space="0"/>
              <w:bottom w:val="single" w:color="000000" w:sz="4" w:space="0"/>
              <w:right w:val="single" w:color="000000" w:sz="4" w:space="0"/>
            </w:tcBorders>
            <w:noWrap w:val="0"/>
            <w:vAlign w:val="center"/>
          </w:tcPr>
          <w:p w14:paraId="4659FBD4">
            <w:pPr>
              <w:pStyle w:val="37"/>
              <w:spacing w:before="59"/>
              <w:ind w:left="115"/>
              <w:jc w:val="center"/>
              <w:rPr>
                <w:rFonts w:hint="eastAsia" w:ascii="宋体" w:hAnsi="宋体" w:eastAsia="宋体" w:cs="宋体"/>
                <w:color w:val="auto"/>
                <w:sz w:val="21"/>
              </w:rPr>
            </w:pPr>
          </w:p>
          <w:p w14:paraId="48A777DA">
            <w:pPr>
              <w:pStyle w:val="37"/>
              <w:spacing w:before="59"/>
              <w:ind w:left="115"/>
              <w:jc w:val="center"/>
              <w:rPr>
                <w:rFonts w:hint="eastAsia" w:ascii="宋体" w:hAnsi="宋体" w:eastAsia="宋体" w:cs="宋体"/>
                <w:color w:val="auto"/>
                <w:sz w:val="21"/>
                <w:szCs w:val="21"/>
              </w:rPr>
            </w:pPr>
            <w:r>
              <w:rPr>
                <w:rFonts w:hint="eastAsia" w:ascii="宋体" w:hAnsi="宋体" w:eastAsia="宋体" w:cs="宋体"/>
                <w:color w:val="auto"/>
                <w:sz w:val="21"/>
              </w:rPr>
              <w:t>3</w:t>
            </w:r>
          </w:p>
        </w:tc>
        <w:tc>
          <w:tcPr>
            <w:tcW w:w="1732" w:type="dxa"/>
            <w:tcBorders>
              <w:top w:val="single" w:color="000000" w:sz="4" w:space="0"/>
              <w:left w:val="single" w:color="000000" w:sz="4" w:space="0"/>
              <w:bottom w:val="single" w:color="000000" w:sz="4" w:space="0"/>
              <w:right w:val="single" w:color="000000" w:sz="4" w:space="0"/>
            </w:tcBorders>
            <w:noWrap w:val="0"/>
            <w:vAlign w:val="center"/>
          </w:tcPr>
          <w:p w14:paraId="3B4EE0D1">
            <w:pPr>
              <w:pStyle w:val="37"/>
              <w:spacing w:line="260" w:lineRule="exact"/>
              <w:ind w:right="475"/>
              <w:jc w:val="center"/>
              <w:rPr>
                <w:rFonts w:hint="eastAsia" w:ascii="宋体" w:hAnsi="宋体" w:eastAsia="宋体" w:cs="宋体"/>
                <w:color w:val="auto"/>
                <w:sz w:val="21"/>
                <w:szCs w:val="21"/>
              </w:rPr>
            </w:pPr>
            <w:r>
              <w:rPr>
                <w:rFonts w:hint="eastAsia" w:ascii="宋体" w:hAnsi="宋体" w:eastAsia="宋体" w:cs="宋体"/>
                <w:color w:val="auto"/>
                <w:spacing w:val="-2"/>
                <w:sz w:val="21"/>
                <w:szCs w:val="21"/>
              </w:rPr>
              <w:t>服务期限</w:t>
            </w:r>
          </w:p>
        </w:tc>
        <w:tc>
          <w:tcPr>
            <w:tcW w:w="5763" w:type="dxa"/>
            <w:tcBorders>
              <w:top w:val="single" w:color="000000" w:sz="4" w:space="0"/>
              <w:left w:val="single" w:color="000000" w:sz="4" w:space="0"/>
              <w:bottom w:val="single" w:color="000000" w:sz="4" w:space="0"/>
              <w:right w:val="single" w:color="000000" w:sz="4" w:space="0"/>
            </w:tcBorders>
            <w:noWrap w:val="0"/>
            <w:vAlign w:val="top"/>
          </w:tcPr>
          <w:p w14:paraId="5F8C025C">
            <w:pPr>
              <w:pStyle w:val="37"/>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 xml:space="preserve"> </w:t>
            </w:r>
            <w:r>
              <w:rPr>
                <w:rFonts w:hint="eastAsia" w:cs="宋体"/>
                <w:color w:val="auto"/>
                <w:sz w:val="21"/>
                <w:szCs w:val="21"/>
                <w:lang w:val="en-US" w:eastAsia="zh-CN"/>
              </w:rPr>
              <w:t xml:space="preserve">  90</w:t>
            </w:r>
            <w:r>
              <w:rPr>
                <w:rFonts w:hint="eastAsia" w:ascii="宋体" w:hAnsi="宋体" w:eastAsia="宋体" w:cs="宋体"/>
                <w:color w:val="auto"/>
                <w:sz w:val="21"/>
                <w:szCs w:val="21"/>
                <w:lang w:eastAsia="zh-CN"/>
              </w:rPr>
              <w:t>日历天</w:t>
            </w:r>
            <w:r>
              <w:rPr>
                <w:rFonts w:hint="eastAsia" w:ascii="宋体" w:hAnsi="宋体" w:eastAsia="宋体" w:cs="宋体"/>
                <w:color w:val="auto"/>
                <w:sz w:val="21"/>
                <w:szCs w:val="21"/>
              </w:rPr>
              <w:t>内向采购人提交施工图设计文件和施工图设计文件审查合格书，具体服务期限以签订合同后至工程缺陷责任期满之日止为准。</w:t>
            </w:r>
          </w:p>
        </w:tc>
      </w:tr>
    </w:tbl>
    <w:p w14:paraId="760A1059">
      <w:pPr>
        <w:spacing w:before="57"/>
        <w:ind w:left="3115" w:right="3251"/>
        <w:jc w:val="center"/>
        <w:rPr>
          <w:rFonts w:hint="eastAsia" w:ascii="宋体" w:hAnsi="宋体" w:eastAsia="宋体" w:cs="宋体"/>
          <w:b/>
          <w:bCs/>
          <w:color w:val="auto"/>
          <w:sz w:val="36"/>
          <w:szCs w:val="36"/>
        </w:rPr>
      </w:pPr>
      <w:r>
        <w:rPr>
          <w:rFonts w:hint="eastAsia" w:ascii="宋体" w:hAnsi="宋体" w:eastAsia="宋体" w:cs="宋体"/>
          <w:b/>
          <w:bCs/>
          <w:color w:val="auto"/>
          <w:sz w:val="28"/>
          <w:szCs w:val="28"/>
        </w:rPr>
        <w:t>二、项目概况</w:t>
      </w:r>
    </w:p>
    <w:p w14:paraId="0F3E0B85">
      <w:pPr>
        <w:adjustRightInd w:val="0"/>
        <w:snapToGrid w:val="0"/>
        <w:spacing w:line="520" w:lineRule="exact"/>
        <w:ind w:firstLine="414" w:firstLineChars="200"/>
        <w:rPr>
          <w:rFonts w:hint="eastAsia" w:ascii="宋体" w:hAnsi="宋体" w:eastAsia="宋体" w:cs="宋体"/>
          <w:color w:val="auto"/>
          <w:sz w:val="28"/>
          <w:szCs w:val="28"/>
          <w:lang w:val="en-US" w:eastAsia="zh-CN"/>
        </w:rPr>
      </w:pPr>
      <w:r>
        <w:rPr>
          <w:rFonts w:hint="eastAsia" w:ascii="宋体" w:hAnsi="宋体" w:eastAsia="宋体" w:cs="宋体"/>
          <w:color w:val="auto"/>
          <w:w w:val="99"/>
          <w:lang w:eastAsia="zh-CN"/>
        </w:rPr>
        <w:t xml:space="preserve">  </w:t>
      </w:r>
    </w:p>
    <w:p w14:paraId="51A18F41">
      <w:pPr>
        <w:pStyle w:val="3"/>
        <w:keepNext w:val="0"/>
        <w:keepLines w:val="0"/>
        <w:pageBreakBefore w:val="0"/>
        <w:widowControl w:val="0"/>
        <w:kinsoku/>
        <w:wordWrap/>
        <w:overflowPunct/>
        <w:topLinePunct w:val="0"/>
        <w:autoSpaceDE/>
        <w:autoSpaceDN/>
        <w:bidi w:val="0"/>
        <w:adjustRightInd/>
        <w:snapToGrid w:val="0"/>
        <w:spacing w:line="360" w:lineRule="auto"/>
        <w:ind w:firstLine="365" w:firstLineChars="174"/>
        <w:textAlignment w:val="auto"/>
        <w:rPr>
          <w:rFonts w:hint="eastAsia" w:ascii="宋体" w:hAnsi="宋体" w:eastAsia="宋体" w:cs="宋体"/>
          <w:color w:val="auto"/>
          <w:kern w:val="0"/>
          <w:sz w:val="21"/>
          <w:szCs w:val="21"/>
          <w:lang w:val="en-US" w:eastAsia="zh-CN" w:bidi="zh-CN"/>
        </w:rPr>
      </w:pPr>
      <w:r>
        <w:rPr>
          <w:rFonts w:hint="eastAsia" w:ascii="宋体" w:hAnsi="宋体" w:eastAsia="宋体" w:cs="宋体"/>
          <w:color w:val="auto"/>
          <w:kern w:val="0"/>
          <w:sz w:val="21"/>
          <w:szCs w:val="21"/>
          <w:lang w:val="en-US" w:eastAsia="zh-CN" w:bidi="zh-CN"/>
        </w:rPr>
        <w:t>本项目位于界首市植物园安置区三期内（颍南植物园三期幼儿园），项目总建筑面积约4309.82平方米，共三层。改造原有建筑提供社区养老服务，设置养老床位约120张，配套建设室外活动场、停车场、绿化，给排水、电气、消防等附属设施。</w:t>
      </w:r>
    </w:p>
    <w:p w14:paraId="4004C244">
      <w:pPr>
        <w:spacing w:before="209" w:line="221" w:lineRule="auto"/>
        <w:ind w:left="421"/>
        <w:rPr>
          <w:rFonts w:hint="eastAsia" w:ascii="宋体" w:hAnsi="宋体" w:eastAsia="宋体" w:cs="宋体"/>
          <w:color w:val="auto"/>
          <w:spacing w:val="-1"/>
        </w:rPr>
      </w:pPr>
    </w:p>
    <w:p w14:paraId="53855D3F">
      <w:pPr>
        <w:spacing w:before="92" w:line="220" w:lineRule="auto"/>
        <w:ind w:left="3537"/>
        <w:rPr>
          <w:rFonts w:hint="eastAsia" w:ascii="宋体" w:hAnsi="宋体" w:eastAsia="宋体" w:cs="宋体"/>
          <w:color w:val="auto"/>
          <w:sz w:val="28"/>
          <w:szCs w:val="28"/>
        </w:rPr>
      </w:pPr>
      <w:r>
        <w:rPr>
          <w:rFonts w:hint="eastAsia" w:ascii="宋体" w:hAnsi="宋体" w:eastAsia="宋体" w:cs="宋体"/>
          <w:b/>
          <w:bCs/>
          <w:color w:val="auto"/>
          <w:spacing w:val="-4"/>
          <w:sz w:val="28"/>
          <w:szCs w:val="28"/>
        </w:rPr>
        <w:t>三、服务需求</w:t>
      </w:r>
    </w:p>
    <w:p w14:paraId="7BEA88BC">
      <w:pPr>
        <w:pStyle w:val="12"/>
        <w:spacing w:line="287" w:lineRule="auto"/>
        <w:rPr>
          <w:rFonts w:hint="eastAsia" w:ascii="宋体" w:hAnsi="宋体" w:eastAsia="宋体" w:cs="宋体"/>
          <w:color w:val="auto"/>
        </w:rPr>
      </w:pPr>
    </w:p>
    <w:p w14:paraId="01603CB4">
      <w:pPr>
        <w:pStyle w:val="12"/>
        <w:spacing w:line="288" w:lineRule="auto"/>
        <w:rPr>
          <w:rFonts w:hint="eastAsia" w:ascii="宋体" w:hAnsi="宋体" w:eastAsia="宋体" w:cs="宋体"/>
          <w:color w:val="auto"/>
        </w:rPr>
      </w:pPr>
    </w:p>
    <w:p w14:paraId="00CF521C">
      <w:pPr>
        <w:pStyle w:val="12"/>
        <w:spacing w:line="360" w:lineRule="auto"/>
        <w:ind w:firstLine="420"/>
        <w:rPr>
          <w:rFonts w:hint="eastAsia" w:ascii="宋体" w:hAnsi="宋体" w:eastAsia="宋体" w:cs="宋体"/>
          <w:color w:val="auto"/>
          <w:sz w:val="21"/>
          <w:szCs w:val="21"/>
          <w:lang w:val="en-US" w:eastAsia="zh-CN" w:bidi="zh-CN"/>
        </w:rPr>
      </w:pPr>
      <w:r>
        <w:rPr>
          <w:rFonts w:hint="eastAsia" w:cs="宋体"/>
          <w:color w:val="auto"/>
          <w:sz w:val="21"/>
          <w:szCs w:val="21"/>
          <w:lang w:val="en-US" w:eastAsia="zh-CN" w:bidi="zh-CN"/>
        </w:rPr>
        <w:t>1、</w:t>
      </w:r>
      <w:r>
        <w:rPr>
          <w:rFonts w:hint="eastAsia" w:ascii="宋体" w:hAnsi="宋体" w:eastAsia="宋体" w:cs="宋体"/>
          <w:color w:val="auto"/>
          <w:sz w:val="21"/>
          <w:szCs w:val="21"/>
          <w:lang w:val="en-US" w:eastAsia="zh-CN" w:bidi="zh-CN"/>
        </w:rPr>
        <w:t>本次采购范围包括但不限于装饰方案及建筑、结构、电气、给排水、暖通装饰施工图，消防（含建筑、电气、给排水、暖通）专项图纸，智能化、室外景观设计，同时提供效果图制作、施工图审查、现场勘测与场地测绘服务，一并覆盖精装修、消防改造、无障碍（适老化）改造、智能化改造、</w:t>
      </w:r>
      <w:r>
        <w:rPr>
          <w:rFonts w:hint="eastAsia" w:cs="宋体"/>
          <w:color w:val="auto"/>
          <w:sz w:val="21"/>
          <w:szCs w:val="21"/>
          <w:lang w:val="en-US" w:eastAsia="zh-CN" w:bidi="zh-CN"/>
        </w:rPr>
        <w:t>室外等</w:t>
      </w:r>
      <w:r>
        <w:rPr>
          <w:rFonts w:hint="eastAsia" w:ascii="宋体" w:hAnsi="宋体" w:eastAsia="宋体" w:cs="宋体"/>
          <w:color w:val="auto"/>
          <w:sz w:val="21"/>
          <w:szCs w:val="21"/>
          <w:lang w:val="en-US" w:eastAsia="zh-CN" w:bidi="zh-CN"/>
        </w:rPr>
        <w:t>管网改造、结构加固等相关全部设计工作。具体内容以采购人要求为准。</w:t>
      </w:r>
    </w:p>
    <w:p w14:paraId="4E3E6CDA">
      <w:pPr>
        <w:pStyle w:val="12"/>
        <w:spacing w:line="360" w:lineRule="auto"/>
        <w:ind w:firstLine="420"/>
        <w:rPr>
          <w:rFonts w:hint="eastAsia" w:ascii="宋体" w:hAnsi="宋体" w:eastAsia="宋体" w:cs="宋体"/>
          <w:color w:val="auto"/>
          <w:sz w:val="21"/>
          <w:szCs w:val="21"/>
          <w:lang w:val="en-US" w:eastAsia="zh-CN" w:bidi="zh-CN"/>
        </w:rPr>
      </w:pPr>
      <w:r>
        <w:rPr>
          <w:rFonts w:hint="eastAsia" w:cs="宋体"/>
          <w:color w:val="auto"/>
          <w:sz w:val="21"/>
          <w:szCs w:val="21"/>
          <w:lang w:val="en-US" w:eastAsia="zh-CN" w:bidi="zh-CN"/>
        </w:rPr>
        <w:t>2、</w:t>
      </w:r>
      <w:r>
        <w:rPr>
          <w:rFonts w:hint="eastAsia" w:ascii="宋体" w:hAnsi="宋体" w:eastAsia="宋体" w:cs="宋体"/>
          <w:color w:val="auto"/>
          <w:sz w:val="21"/>
          <w:szCs w:val="21"/>
          <w:lang w:val="en-US" w:eastAsia="zh-CN" w:bidi="zh-CN"/>
        </w:rPr>
        <w:t>全方位组织配合好现场勘查工作,提出工程设计需要的各项设计资料需求，组织配合办理房屋用途变更申请、完成消防验收。</w:t>
      </w:r>
    </w:p>
    <w:p w14:paraId="1BC07C7A">
      <w:pPr>
        <w:pStyle w:val="12"/>
        <w:spacing w:line="360" w:lineRule="auto"/>
        <w:ind w:firstLine="420"/>
        <w:rPr>
          <w:rFonts w:hint="eastAsia" w:ascii="宋体" w:hAnsi="宋体" w:eastAsia="宋体" w:cs="宋体"/>
          <w:color w:val="auto"/>
          <w:sz w:val="21"/>
          <w:szCs w:val="21"/>
          <w:lang w:val="en-US" w:eastAsia="zh-CN" w:bidi="zh-CN"/>
        </w:rPr>
      </w:pPr>
      <w:r>
        <w:rPr>
          <w:rFonts w:hint="eastAsia" w:cs="宋体"/>
          <w:color w:val="auto"/>
          <w:sz w:val="21"/>
          <w:szCs w:val="21"/>
          <w:lang w:val="en-US" w:eastAsia="zh-CN" w:bidi="zh-CN"/>
        </w:rPr>
        <w:t>3、</w:t>
      </w:r>
      <w:r>
        <w:rPr>
          <w:rFonts w:hint="eastAsia" w:ascii="宋体" w:hAnsi="宋体" w:eastAsia="宋体" w:cs="宋体"/>
          <w:color w:val="auto"/>
          <w:sz w:val="21"/>
          <w:szCs w:val="21"/>
          <w:lang w:val="en-US" w:eastAsia="zh-CN" w:bidi="zh-CN"/>
        </w:rPr>
        <w:t>提供足额份数的文件资料，包括提供必要电子版资料和纸质版资料。具体内容及要求以采购人要求为准</w:t>
      </w:r>
      <w:r>
        <w:rPr>
          <w:rFonts w:hint="eastAsia" w:cs="宋体"/>
          <w:color w:val="auto"/>
          <w:sz w:val="21"/>
          <w:szCs w:val="21"/>
          <w:lang w:val="en-US" w:eastAsia="zh-CN" w:bidi="zh-CN"/>
        </w:rPr>
        <w:t>。</w:t>
      </w:r>
    </w:p>
    <w:p w14:paraId="365C5E23">
      <w:pPr>
        <w:pStyle w:val="12"/>
        <w:spacing w:line="360" w:lineRule="auto"/>
        <w:ind w:firstLine="420"/>
        <w:rPr>
          <w:rFonts w:hint="eastAsia" w:ascii="宋体" w:hAnsi="宋体" w:eastAsia="宋体" w:cs="宋体"/>
          <w:color w:val="auto"/>
          <w:sz w:val="21"/>
          <w:szCs w:val="21"/>
          <w:lang w:val="en-US" w:eastAsia="zh-CN" w:bidi="zh-CN"/>
        </w:rPr>
      </w:pPr>
      <w:r>
        <w:rPr>
          <w:rFonts w:hint="eastAsia" w:cs="宋体"/>
          <w:color w:val="auto"/>
          <w:sz w:val="21"/>
          <w:szCs w:val="21"/>
          <w:lang w:val="en-US" w:eastAsia="zh-CN" w:bidi="zh-CN"/>
        </w:rPr>
        <w:t>4、</w:t>
      </w:r>
      <w:r>
        <w:rPr>
          <w:rFonts w:hint="eastAsia" w:ascii="宋体" w:hAnsi="宋体" w:eastAsia="宋体" w:cs="宋体"/>
          <w:color w:val="auto"/>
          <w:sz w:val="21"/>
          <w:szCs w:val="21"/>
          <w:lang w:val="en-US" w:eastAsia="zh-CN" w:bidi="zh-CN"/>
        </w:rPr>
        <w:t>满足报规及报建需求，配合采购人进行项目报规、报建、报审、档案移交，提供所需资料及设计图纸，由供应商承担相关配合费用以及各类评审费用（不含按规定应由建设单位承担的相关规费）</w:t>
      </w:r>
      <w:r>
        <w:rPr>
          <w:rFonts w:hint="eastAsia" w:cs="宋体"/>
          <w:color w:val="auto"/>
          <w:sz w:val="21"/>
          <w:szCs w:val="21"/>
          <w:lang w:val="en-US" w:eastAsia="zh-CN" w:bidi="zh-CN"/>
        </w:rPr>
        <w:t>。</w:t>
      </w:r>
    </w:p>
    <w:p w14:paraId="0C3AF6BC">
      <w:pPr>
        <w:pStyle w:val="12"/>
        <w:spacing w:line="360" w:lineRule="auto"/>
        <w:ind w:firstLine="420"/>
        <w:rPr>
          <w:rFonts w:hint="default" w:ascii="宋体" w:hAnsi="宋体" w:eastAsia="宋体" w:cs="宋体"/>
          <w:color w:val="auto"/>
          <w:sz w:val="21"/>
          <w:szCs w:val="21"/>
          <w:lang w:val="en-US" w:eastAsia="zh-CN" w:bidi="zh-CN"/>
        </w:rPr>
      </w:pPr>
      <w:r>
        <w:rPr>
          <w:rFonts w:hint="eastAsia" w:cs="宋体"/>
          <w:color w:val="auto"/>
          <w:sz w:val="21"/>
          <w:szCs w:val="21"/>
          <w:lang w:val="en-US" w:eastAsia="zh-CN" w:bidi="zh-CN"/>
        </w:rPr>
        <w:t>5、</w:t>
      </w:r>
      <w:r>
        <w:rPr>
          <w:rFonts w:hint="eastAsia" w:ascii="宋体" w:hAnsi="宋体" w:eastAsia="宋体" w:cs="宋体"/>
          <w:color w:val="auto"/>
          <w:sz w:val="21"/>
          <w:szCs w:val="21"/>
          <w:lang w:val="en-US" w:eastAsia="zh-CN" w:bidi="zh-CN"/>
        </w:rPr>
        <w:t>针对专业性较强的、供应商不具备资质实施的专业工程（如图纸测绘、检测等），经采购人批准后，由供应商委托具有相应资质的单位负责实施，所需费用由供应商承担。供应商应自行综合考虑，与此相关的一切费用均应包含在响应报价中</w:t>
      </w:r>
      <w:r>
        <w:rPr>
          <w:rFonts w:hint="eastAsia" w:cs="宋体"/>
          <w:color w:val="auto"/>
          <w:sz w:val="21"/>
          <w:szCs w:val="21"/>
          <w:lang w:val="en-US" w:eastAsia="zh-CN" w:bidi="zh-CN"/>
        </w:rPr>
        <w:t>。</w:t>
      </w:r>
    </w:p>
    <w:p w14:paraId="739FE2E3">
      <w:pPr>
        <w:pStyle w:val="12"/>
        <w:spacing w:before="11" w:line="360" w:lineRule="auto"/>
        <w:rPr>
          <w:rFonts w:hint="eastAsia" w:ascii="宋体" w:hAnsi="宋体" w:eastAsia="宋体" w:cs="宋体"/>
          <w:b/>
          <w:color w:val="auto"/>
          <w:sz w:val="21"/>
          <w:szCs w:val="21"/>
        </w:rPr>
      </w:pPr>
    </w:p>
    <w:p w14:paraId="2697C92B">
      <w:pPr>
        <w:pStyle w:val="7"/>
        <w:jc w:val="center"/>
        <w:rPr>
          <w:rFonts w:hint="eastAsia" w:ascii="宋体" w:hAnsi="宋体" w:eastAsia="宋体" w:cs="宋体"/>
          <w:color w:val="auto"/>
        </w:rPr>
      </w:pPr>
      <w:r>
        <w:rPr>
          <w:rFonts w:hint="eastAsia" w:ascii="宋体" w:hAnsi="宋体" w:eastAsia="宋体" w:cs="宋体"/>
          <w:color w:val="auto"/>
        </w:rPr>
        <w:t>四、报价要求</w:t>
      </w:r>
    </w:p>
    <w:p w14:paraId="4E347CC8">
      <w:pPr>
        <w:pStyle w:val="12"/>
        <w:spacing w:line="360" w:lineRule="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 xml:space="preserve">报价方式： </w:t>
      </w:r>
    </w:p>
    <w:p w14:paraId="3B2357D6">
      <w:pPr>
        <w:pStyle w:val="12"/>
        <w:spacing w:line="360" w:lineRule="auto"/>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 xml:space="preserve">总价报价：含完成对应包所需的一切费用总和，包括但不限于人员工资、办公费、通讯费、差旅费、食宿费、专家评审费用等为完成各包所发生的所有费用。采购人后期不再增加任何费用； </w:t>
      </w:r>
    </w:p>
    <w:p w14:paraId="40110861">
      <w:pPr>
        <w:pStyle w:val="12"/>
        <w:spacing w:line="360" w:lineRule="auto"/>
        <w:rPr>
          <w:rFonts w:hint="eastAsia" w:ascii="宋体" w:hAnsi="宋体" w:eastAsia="宋体" w:cs="宋体"/>
          <w:color w:val="auto"/>
          <w:sz w:val="21"/>
          <w:szCs w:val="21"/>
          <w:lang w:val="en-US" w:eastAsia="zh-CN" w:bidi="zh-CN"/>
        </w:rPr>
      </w:pPr>
    </w:p>
    <w:p w14:paraId="0709371D">
      <w:pPr>
        <w:pStyle w:val="7"/>
        <w:numPr>
          <w:ilvl w:val="0"/>
          <w:numId w:val="6"/>
        </w:numPr>
        <w:jc w:val="center"/>
        <w:rPr>
          <w:rFonts w:hint="eastAsia" w:ascii="宋体" w:hAnsi="宋体" w:eastAsia="宋体" w:cs="宋体"/>
          <w:color w:val="auto"/>
        </w:rPr>
      </w:pPr>
      <w:r>
        <w:rPr>
          <w:rFonts w:hint="eastAsia" w:ascii="宋体" w:hAnsi="宋体" w:cs="宋体"/>
          <w:color w:val="auto"/>
          <w:lang w:val="en-US" w:eastAsia="zh-CN"/>
        </w:rPr>
        <w:t>其他</w:t>
      </w:r>
      <w:r>
        <w:rPr>
          <w:rFonts w:hint="eastAsia" w:ascii="宋体" w:hAnsi="宋体" w:eastAsia="宋体" w:cs="宋体"/>
          <w:color w:val="auto"/>
        </w:rPr>
        <w:t>要求</w:t>
      </w:r>
    </w:p>
    <w:p w14:paraId="2D171741">
      <w:pPr>
        <w:pStyle w:val="12"/>
        <w:spacing w:line="360" w:lineRule="auto"/>
        <w:ind w:firstLine="420"/>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 xml:space="preserve"> 1、工程设计应遵守国家有关法律法规，必须符合工程建设强制性标准，且标准和内容必须按照本工程项目的有关要求。</w:t>
      </w:r>
    </w:p>
    <w:p w14:paraId="0DFD08F4">
      <w:pPr>
        <w:pStyle w:val="12"/>
        <w:spacing w:line="360" w:lineRule="auto"/>
        <w:ind w:firstLine="420"/>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2、工程设计应坚持节约资源、确保安全、提高质量利于运行和降低造价的原则，进行全细致的方案比选，确保设计结果技术可行、经济合理。</w:t>
      </w:r>
    </w:p>
    <w:p w14:paraId="17B01636">
      <w:pPr>
        <w:pStyle w:val="12"/>
        <w:spacing w:line="360" w:lineRule="auto"/>
        <w:ind w:firstLine="420"/>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3、供应商在其工作范围内应确保其各自独立准备的全部设计文件在中国境内外都没有且也不会侵犯任何第三方的知识产权(包括但不限于著作权、商标权、专利权)或专有技术或商业秘密；供应商如果在其设计文件中使用或包含任何其他人的知识产权或专有技术或商业秘密，应保证已经获得权利人的合法、有效、充分的授权;采购人拥有成交人所提交的全部设计文件的使用权和受益权，并使用于采购项目。</w:t>
      </w:r>
    </w:p>
    <w:p w14:paraId="59491DF4">
      <w:pPr>
        <w:pStyle w:val="12"/>
        <w:spacing w:line="360" w:lineRule="auto"/>
        <w:ind w:firstLine="420"/>
        <w:rPr>
          <w:rFonts w:hint="eastAsia" w:ascii="宋体" w:hAnsi="宋体" w:eastAsia="宋体" w:cs="宋体"/>
          <w:color w:val="auto"/>
          <w:sz w:val="21"/>
          <w:szCs w:val="21"/>
          <w:lang w:val="en-US" w:eastAsia="zh-CN" w:bidi="zh-CN"/>
        </w:rPr>
      </w:pPr>
      <w:r>
        <w:rPr>
          <w:rFonts w:hint="eastAsia" w:ascii="宋体" w:hAnsi="宋体" w:eastAsia="宋体" w:cs="宋体"/>
          <w:color w:val="auto"/>
          <w:sz w:val="21"/>
          <w:szCs w:val="21"/>
          <w:lang w:val="en-US" w:eastAsia="zh-CN" w:bidi="zh-CN"/>
        </w:rPr>
        <w:t>4、供应商应根据其实际需求自行安排时间进行现场考察，以便进行合理报价，供应商现场考察的费用自理。一旦成交，不得以不了解现场情况为理由而提出额外费用。在现场考察过程中，供应商如果发生人身伤亡、财务或其它损失，不论何种原因造成，均由供应商自负。</w:t>
      </w:r>
    </w:p>
    <w:p w14:paraId="5B5341C5">
      <w:pPr>
        <w:pStyle w:val="12"/>
        <w:spacing w:line="360" w:lineRule="auto"/>
        <w:ind w:firstLine="420"/>
        <w:rPr>
          <w:rFonts w:hint="eastAsia" w:ascii="宋体" w:hAnsi="宋体" w:eastAsia="宋体" w:cs="宋体"/>
          <w:color w:val="auto"/>
          <w:sz w:val="21"/>
          <w:szCs w:val="21"/>
          <w:lang w:val="en-US" w:eastAsia="zh-CN" w:bidi="zh-CN"/>
        </w:rPr>
      </w:pPr>
    </w:p>
    <w:p w14:paraId="6FC42D8D">
      <w:pPr>
        <w:rPr>
          <w:rFonts w:hint="eastAsia" w:ascii="宋体" w:hAnsi="宋体" w:eastAsia="宋体" w:cs="宋体"/>
          <w:b/>
          <w:color w:val="auto"/>
          <w:sz w:val="28"/>
          <w:szCs w:val="28"/>
          <w:lang w:eastAsia="zh-CN"/>
        </w:rPr>
      </w:pPr>
    </w:p>
    <w:p w14:paraId="476DD053">
      <w:pPr>
        <w:pStyle w:val="2"/>
        <w:rPr>
          <w:rFonts w:hint="eastAsia"/>
          <w:lang w:eastAsia="zh-CN"/>
        </w:rPr>
      </w:pPr>
    </w:p>
    <w:p w14:paraId="3918E51F">
      <w:pPr>
        <w:jc w:val="center"/>
        <w:rPr>
          <w:rFonts w:hint="eastAsia" w:ascii="宋体" w:hAnsi="宋体" w:eastAsia="宋体" w:cs="宋体"/>
          <w:color w:val="auto"/>
          <w:sz w:val="32"/>
          <w:szCs w:val="32"/>
        </w:rPr>
      </w:pPr>
      <w:r>
        <w:rPr>
          <w:rFonts w:hint="eastAsia" w:ascii="宋体" w:hAnsi="宋体" w:eastAsia="宋体" w:cs="宋体"/>
          <w:color w:val="auto"/>
          <w:sz w:val="21"/>
          <w:szCs w:val="21"/>
          <w:lang w:eastAsia="zh-CN"/>
        </w:rPr>
        <w:t xml:space="preserve"> </w:t>
      </w:r>
      <w:bookmarkStart w:id="119" w:name="_Toc30158"/>
      <w:r>
        <w:rPr>
          <w:rFonts w:hint="eastAsia" w:ascii="宋体" w:hAnsi="宋体" w:eastAsia="宋体" w:cs="宋体"/>
          <w:b/>
          <w:bCs/>
          <w:color w:val="auto"/>
          <w:sz w:val="36"/>
          <w:szCs w:val="36"/>
        </w:rPr>
        <w:t>第</w:t>
      </w:r>
      <w:r>
        <w:rPr>
          <w:rFonts w:hint="eastAsia" w:ascii="宋体" w:hAnsi="宋体" w:eastAsia="宋体" w:cs="宋体"/>
          <w:b/>
          <w:bCs/>
          <w:color w:val="auto"/>
          <w:sz w:val="36"/>
          <w:szCs w:val="36"/>
          <w:lang w:eastAsia="zh-CN"/>
        </w:rPr>
        <w:t>四</w:t>
      </w:r>
      <w:r>
        <w:rPr>
          <w:rFonts w:hint="eastAsia" w:ascii="宋体" w:hAnsi="宋体" w:eastAsia="宋体" w:cs="宋体"/>
          <w:b/>
          <w:bCs/>
          <w:color w:val="auto"/>
          <w:sz w:val="36"/>
          <w:szCs w:val="36"/>
        </w:rPr>
        <w:t xml:space="preserve">章 </w:t>
      </w:r>
      <w:bookmarkEnd w:id="119"/>
      <w:r>
        <w:rPr>
          <w:rFonts w:hint="eastAsia" w:ascii="宋体" w:hAnsi="宋体" w:eastAsia="宋体" w:cs="宋体"/>
          <w:b/>
          <w:bCs/>
          <w:color w:val="auto"/>
          <w:sz w:val="36"/>
          <w:szCs w:val="36"/>
          <w:lang w:eastAsia="zh-CN"/>
        </w:rPr>
        <w:t>评审方法和标准</w:t>
      </w:r>
      <w:r>
        <w:rPr>
          <w:rFonts w:hint="eastAsia" w:ascii="宋体" w:hAnsi="宋体" w:eastAsia="宋体" w:cs="宋体"/>
          <w:b/>
          <w:bCs/>
          <w:color w:val="auto"/>
          <w:sz w:val="32"/>
          <w:szCs w:val="32"/>
          <w:lang w:eastAsia="zh-CN"/>
        </w:rPr>
        <w:t xml:space="preserve"> </w:t>
      </w:r>
    </w:p>
    <w:p w14:paraId="36424226">
      <w:pPr>
        <w:spacing w:line="440" w:lineRule="exact"/>
        <w:jc w:val="left"/>
        <w:rPr>
          <w:rFonts w:hint="eastAsia" w:ascii="宋体" w:hAnsi="宋体" w:eastAsia="宋体" w:cs="宋体"/>
          <w:b/>
          <w:iCs/>
          <w:color w:val="auto"/>
          <w:sz w:val="24"/>
          <w:szCs w:val="24"/>
          <w:lang w:val="zh-CN"/>
        </w:rPr>
      </w:pPr>
      <w:bookmarkStart w:id="120" w:name="_Toc6300_WPSOffice_Level2"/>
      <w:bookmarkStart w:id="121" w:name="_Toc9884_WPSOffice_Level2"/>
    </w:p>
    <w:p w14:paraId="78FC215A">
      <w:pPr>
        <w:pStyle w:val="7"/>
        <w:spacing w:before="188" w:line="360" w:lineRule="auto"/>
        <w:ind w:left="1011"/>
        <w:rPr>
          <w:rFonts w:hint="eastAsia" w:ascii="宋体" w:hAnsi="宋体" w:eastAsia="宋体" w:cs="宋体"/>
          <w:color w:val="auto"/>
          <w:sz w:val="21"/>
          <w:szCs w:val="21"/>
        </w:rPr>
      </w:pPr>
      <w:bookmarkStart w:id="122" w:name="_Toc19287_WPSOffice_Level1"/>
      <w:r>
        <w:rPr>
          <w:rFonts w:hint="eastAsia" w:ascii="宋体" w:hAnsi="宋体" w:eastAsia="宋体" w:cs="宋体"/>
          <w:color w:val="auto"/>
          <w:sz w:val="21"/>
          <w:szCs w:val="21"/>
        </w:rPr>
        <w:t>一、总则</w:t>
      </w:r>
    </w:p>
    <w:p w14:paraId="421AE043">
      <w:pPr>
        <w:pStyle w:val="12"/>
        <w:spacing w:before="160" w:line="360" w:lineRule="auto"/>
        <w:ind w:left="1011" w:right="613" w:hanging="3"/>
        <w:rPr>
          <w:rFonts w:hint="eastAsia" w:ascii="宋体" w:hAnsi="宋体" w:eastAsia="宋体" w:cs="宋体"/>
          <w:color w:val="auto"/>
          <w:sz w:val="21"/>
          <w:szCs w:val="21"/>
        </w:rPr>
      </w:pPr>
      <w:r>
        <w:rPr>
          <w:rFonts w:hint="eastAsia" w:ascii="宋体" w:hAnsi="宋体" w:eastAsia="宋体" w:cs="宋体"/>
          <w:color w:val="auto"/>
          <w:sz w:val="21"/>
          <w:szCs w:val="21"/>
        </w:rPr>
        <w:t>本项目将按照磋商文件第二章 供应商须知的相关要求及本章的规定评审。</w:t>
      </w:r>
    </w:p>
    <w:p w14:paraId="26A1ADAD">
      <w:pPr>
        <w:pStyle w:val="12"/>
        <w:spacing w:before="160" w:line="360" w:lineRule="auto"/>
        <w:ind w:left="1011" w:right="613" w:hanging="3"/>
        <w:rPr>
          <w:rFonts w:hint="eastAsia" w:ascii="宋体" w:hAnsi="宋体" w:eastAsia="宋体" w:cs="宋体"/>
          <w:b/>
          <w:color w:val="auto"/>
          <w:sz w:val="21"/>
          <w:szCs w:val="21"/>
        </w:rPr>
      </w:pPr>
      <w:r>
        <w:rPr>
          <w:rFonts w:hint="eastAsia" w:ascii="宋体" w:hAnsi="宋体" w:eastAsia="宋体" w:cs="宋体"/>
          <w:b/>
          <w:color w:val="auto"/>
          <w:sz w:val="21"/>
          <w:szCs w:val="21"/>
        </w:rPr>
        <w:t>二、评审方法</w:t>
      </w:r>
    </w:p>
    <w:p w14:paraId="7073DD6A">
      <w:pPr>
        <w:pStyle w:val="38"/>
        <w:numPr>
          <w:ilvl w:val="1"/>
          <w:numId w:val="7"/>
        </w:numPr>
        <w:tabs>
          <w:tab w:val="left" w:pos="1430"/>
        </w:tabs>
        <w:autoSpaceDE w:val="0"/>
        <w:autoSpaceDN w:val="0"/>
        <w:spacing w:before="5" w:line="360" w:lineRule="auto"/>
        <w:ind w:hanging="421" w:firstLineChars="0"/>
        <w:rPr>
          <w:rFonts w:hint="eastAsia" w:ascii="宋体" w:hAnsi="宋体" w:eastAsia="宋体" w:cs="宋体"/>
          <w:color w:val="auto"/>
          <w:szCs w:val="21"/>
        </w:rPr>
      </w:pPr>
      <w:r>
        <w:rPr>
          <w:rFonts w:hint="eastAsia" w:ascii="宋体" w:hAnsi="宋体" w:eastAsia="宋体" w:cs="宋体"/>
          <w:color w:val="auto"/>
          <w:szCs w:val="21"/>
        </w:rPr>
        <w:t>初审</w:t>
      </w:r>
    </w:p>
    <w:p w14:paraId="6FEE317A">
      <w:pPr>
        <w:pStyle w:val="12"/>
        <w:spacing w:before="159" w:line="360" w:lineRule="auto"/>
        <w:ind w:left="574" w:right="497" w:firstLine="434"/>
        <w:rPr>
          <w:rFonts w:hint="eastAsia" w:ascii="宋体" w:hAnsi="宋体" w:eastAsia="宋体" w:cs="宋体"/>
          <w:color w:val="auto"/>
          <w:sz w:val="21"/>
          <w:szCs w:val="21"/>
        </w:rPr>
      </w:pPr>
      <w:r>
        <w:rPr>
          <w:rFonts w:hint="eastAsia" w:ascii="宋体" w:hAnsi="宋体" w:eastAsia="宋体" w:cs="宋体"/>
          <w:color w:val="auto"/>
          <w:sz w:val="21"/>
          <w:szCs w:val="21"/>
        </w:rPr>
        <w:t>磋商小组对供应商的响应文件进行初审，以确定其是否满足磋商文件的实质性要求。初审表如下：</w:t>
      </w:r>
    </w:p>
    <w:tbl>
      <w:tblPr>
        <w:tblStyle w:val="24"/>
        <w:tblW w:w="8496" w:type="dxa"/>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1763"/>
        <w:gridCol w:w="2149"/>
        <w:gridCol w:w="3869"/>
      </w:tblGrid>
      <w:tr w14:paraId="28600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496" w:type="dxa"/>
            <w:gridSpan w:val="4"/>
            <w:vAlign w:val="center"/>
          </w:tcPr>
          <w:p w14:paraId="40D1AF36">
            <w:pPr>
              <w:pStyle w:val="37"/>
              <w:spacing w:before="28" w:line="360" w:lineRule="auto"/>
              <w:ind w:left="3870" w:right="3853"/>
              <w:jc w:val="center"/>
              <w:rPr>
                <w:rFonts w:hint="eastAsia"/>
                <w:b/>
                <w:color w:val="auto"/>
                <w:sz w:val="21"/>
                <w:szCs w:val="21"/>
                <w:lang w:eastAsia="en-US"/>
              </w:rPr>
            </w:pPr>
            <w:r>
              <w:rPr>
                <w:b/>
                <w:color w:val="auto"/>
                <w:sz w:val="21"/>
                <w:szCs w:val="21"/>
                <w:lang w:eastAsia="en-US"/>
              </w:rPr>
              <w:t>初审表</w:t>
            </w:r>
          </w:p>
        </w:tc>
      </w:tr>
      <w:tr w14:paraId="7F18A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15" w:type="dxa"/>
            <w:vAlign w:val="center"/>
          </w:tcPr>
          <w:p w14:paraId="6FA408D7">
            <w:pPr>
              <w:pStyle w:val="37"/>
              <w:spacing w:line="360" w:lineRule="auto"/>
              <w:ind w:left="102" w:right="83"/>
              <w:jc w:val="center"/>
              <w:rPr>
                <w:rFonts w:hint="eastAsia"/>
                <w:b/>
                <w:bCs/>
                <w:color w:val="auto"/>
                <w:sz w:val="21"/>
                <w:szCs w:val="21"/>
                <w:lang w:eastAsia="en-US"/>
              </w:rPr>
            </w:pPr>
            <w:r>
              <w:rPr>
                <w:b/>
                <w:bCs/>
                <w:color w:val="auto"/>
                <w:sz w:val="21"/>
                <w:szCs w:val="21"/>
                <w:lang w:eastAsia="en-US"/>
              </w:rPr>
              <w:t>序号</w:t>
            </w:r>
          </w:p>
        </w:tc>
        <w:tc>
          <w:tcPr>
            <w:tcW w:w="1763" w:type="dxa"/>
            <w:vAlign w:val="center"/>
          </w:tcPr>
          <w:p w14:paraId="2986DA14">
            <w:pPr>
              <w:pStyle w:val="37"/>
              <w:spacing w:line="360" w:lineRule="auto"/>
              <w:ind w:left="107" w:right="91"/>
              <w:jc w:val="center"/>
              <w:rPr>
                <w:rFonts w:hint="eastAsia"/>
                <w:b/>
                <w:bCs/>
                <w:color w:val="auto"/>
                <w:sz w:val="21"/>
                <w:szCs w:val="21"/>
                <w:lang w:eastAsia="en-US"/>
              </w:rPr>
            </w:pPr>
            <w:r>
              <w:rPr>
                <w:b/>
                <w:bCs/>
                <w:color w:val="auto"/>
                <w:sz w:val="21"/>
                <w:szCs w:val="21"/>
                <w:lang w:eastAsia="en-US"/>
              </w:rPr>
              <w:t>评审指标</w:t>
            </w:r>
          </w:p>
        </w:tc>
        <w:tc>
          <w:tcPr>
            <w:tcW w:w="2149" w:type="dxa"/>
            <w:tcBorders>
              <w:right w:val="single" w:color="000000" w:sz="6" w:space="0"/>
            </w:tcBorders>
            <w:vAlign w:val="center"/>
          </w:tcPr>
          <w:p w14:paraId="22FDB3F3">
            <w:pPr>
              <w:pStyle w:val="37"/>
              <w:spacing w:line="360" w:lineRule="auto"/>
              <w:ind w:left="170" w:right="150"/>
              <w:jc w:val="center"/>
              <w:rPr>
                <w:rFonts w:hint="eastAsia"/>
                <w:b/>
                <w:bCs/>
                <w:color w:val="auto"/>
                <w:sz w:val="21"/>
                <w:szCs w:val="21"/>
                <w:lang w:eastAsia="en-US"/>
              </w:rPr>
            </w:pPr>
            <w:r>
              <w:rPr>
                <w:b/>
                <w:bCs/>
                <w:color w:val="auto"/>
                <w:sz w:val="21"/>
                <w:szCs w:val="21"/>
                <w:lang w:eastAsia="en-US"/>
              </w:rPr>
              <w:t>评审标准</w:t>
            </w:r>
          </w:p>
        </w:tc>
        <w:tc>
          <w:tcPr>
            <w:tcW w:w="3869" w:type="dxa"/>
            <w:tcBorders>
              <w:left w:val="single" w:color="000000" w:sz="6" w:space="0"/>
            </w:tcBorders>
            <w:vAlign w:val="center"/>
          </w:tcPr>
          <w:p w14:paraId="6C1A3B59">
            <w:pPr>
              <w:pStyle w:val="37"/>
              <w:spacing w:line="360" w:lineRule="auto"/>
              <w:ind w:left="1095"/>
              <w:rPr>
                <w:rFonts w:hint="eastAsia"/>
                <w:b/>
                <w:bCs/>
                <w:color w:val="auto"/>
                <w:sz w:val="21"/>
                <w:szCs w:val="21"/>
                <w:lang w:eastAsia="en-US"/>
              </w:rPr>
            </w:pPr>
            <w:r>
              <w:rPr>
                <w:b/>
                <w:bCs/>
                <w:color w:val="auto"/>
                <w:sz w:val="21"/>
                <w:szCs w:val="21"/>
                <w:lang w:eastAsia="en-US"/>
              </w:rPr>
              <w:t>格式及材料要求</w:t>
            </w:r>
          </w:p>
        </w:tc>
      </w:tr>
      <w:tr w14:paraId="031F6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15" w:type="dxa"/>
            <w:vAlign w:val="center"/>
          </w:tcPr>
          <w:p w14:paraId="4C51F881">
            <w:pPr>
              <w:pStyle w:val="37"/>
              <w:spacing w:line="360" w:lineRule="auto"/>
              <w:ind w:left="19"/>
              <w:jc w:val="center"/>
              <w:rPr>
                <w:rFonts w:hint="eastAsia"/>
                <w:color w:val="auto"/>
                <w:sz w:val="21"/>
                <w:szCs w:val="21"/>
                <w:lang w:eastAsia="en-US"/>
              </w:rPr>
            </w:pPr>
            <w:r>
              <w:rPr>
                <w:color w:val="auto"/>
                <w:sz w:val="21"/>
                <w:szCs w:val="21"/>
                <w:lang w:eastAsia="en-US"/>
              </w:rPr>
              <w:t>1</w:t>
            </w:r>
          </w:p>
        </w:tc>
        <w:tc>
          <w:tcPr>
            <w:tcW w:w="1763" w:type="dxa"/>
            <w:vAlign w:val="center"/>
          </w:tcPr>
          <w:p w14:paraId="4EA2F429">
            <w:pPr>
              <w:pStyle w:val="37"/>
              <w:spacing w:line="360" w:lineRule="auto"/>
              <w:ind w:right="91"/>
              <w:jc w:val="center"/>
              <w:rPr>
                <w:rFonts w:hint="eastAsia"/>
                <w:color w:val="auto"/>
                <w:sz w:val="21"/>
                <w:szCs w:val="21"/>
                <w:lang w:eastAsia="en-US"/>
              </w:rPr>
            </w:pPr>
            <w:r>
              <w:rPr>
                <w:color w:val="auto"/>
                <w:sz w:val="21"/>
                <w:szCs w:val="21"/>
                <w:lang w:eastAsia="en-US"/>
              </w:rPr>
              <w:t>营业执照</w:t>
            </w:r>
          </w:p>
        </w:tc>
        <w:tc>
          <w:tcPr>
            <w:tcW w:w="2149" w:type="dxa"/>
            <w:tcBorders>
              <w:right w:val="single" w:color="000000" w:sz="6" w:space="0"/>
            </w:tcBorders>
            <w:vAlign w:val="center"/>
          </w:tcPr>
          <w:p w14:paraId="218997FA">
            <w:pPr>
              <w:pStyle w:val="37"/>
              <w:spacing w:line="360" w:lineRule="auto"/>
              <w:ind w:right="150" w:firstLine="210" w:firstLineChars="100"/>
              <w:jc w:val="both"/>
              <w:rPr>
                <w:rFonts w:hint="eastAsia"/>
                <w:color w:val="auto"/>
                <w:sz w:val="21"/>
                <w:szCs w:val="21"/>
                <w:lang w:eastAsia="en-US"/>
              </w:rPr>
            </w:pPr>
            <w:r>
              <w:rPr>
                <w:color w:val="auto"/>
                <w:sz w:val="21"/>
                <w:szCs w:val="21"/>
                <w:lang w:eastAsia="en-US"/>
              </w:rPr>
              <w:t>合法有效</w:t>
            </w:r>
          </w:p>
        </w:tc>
        <w:tc>
          <w:tcPr>
            <w:tcW w:w="3869" w:type="dxa"/>
            <w:tcBorders>
              <w:left w:val="single" w:color="000000" w:sz="6" w:space="0"/>
            </w:tcBorders>
            <w:vAlign w:val="center"/>
          </w:tcPr>
          <w:p w14:paraId="7B4C7E28">
            <w:pPr>
              <w:pStyle w:val="37"/>
              <w:spacing w:line="360" w:lineRule="auto"/>
              <w:ind w:left="106" w:right="-29"/>
              <w:rPr>
                <w:rFonts w:hint="eastAsia"/>
                <w:color w:val="auto"/>
                <w:sz w:val="21"/>
                <w:szCs w:val="21"/>
                <w:lang w:eastAsia="en-US"/>
              </w:rPr>
            </w:pPr>
          </w:p>
        </w:tc>
      </w:tr>
      <w:tr w14:paraId="6860F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715" w:type="dxa"/>
            <w:vAlign w:val="center"/>
          </w:tcPr>
          <w:p w14:paraId="33BCB8F2">
            <w:pPr>
              <w:pStyle w:val="37"/>
              <w:spacing w:line="360" w:lineRule="auto"/>
              <w:ind w:left="19"/>
              <w:jc w:val="center"/>
              <w:rPr>
                <w:rFonts w:hint="eastAsia"/>
                <w:color w:val="auto"/>
                <w:sz w:val="21"/>
                <w:szCs w:val="21"/>
                <w:lang w:val="en-US"/>
              </w:rPr>
            </w:pPr>
            <w:r>
              <w:rPr>
                <w:rFonts w:hint="eastAsia"/>
                <w:color w:val="auto"/>
                <w:sz w:val="21"/>
                <w:szCs w:val="21"/>
                <w:lang w:val="en-US"/>
              </w:rPr>
              <w:t>2</w:t>
            </w:r>
          </w:p>
        </w:tc>
        <w:tc>
          <w:tcPr>
            <w:tcW w:w="1763" w:type="dxa"/>
          </w:tcPr>
          <w:p w14:paraId="6B76BE81">
            <w:pPr>
              <w:pStyle w:val="37"/>
              <w:spacing w:before="210" w:line="360" w:lineRule="auto"/>
              <w:ind w:left="230"/>
              <w:rPr>
                <w:rFonts w:hint="eastAsia"/>
                <w:color w:val="auto"/>
                <w:sz w:val="21"/>
                <w:szCs w:val="21"/>
                <w:lang w:val="en-US" w:eastAsia="en-US"/>
              </w:rPr>
            </w:pPr>
            <w:r>
              <w:rPr>
                <w:rFonts w:hint="eastAsia"/>
                <w:color w:val="auto"/>
                <w:sz w:val="21"/>
                <w:szCs w:val="21"/>
                <w:lang w:val="en-US"/>
              </w:rPr>
              <w:t>供应商资质</w:t>
            </w:r>
          </w:p>
        </w:tc>
        <w:tc>
          <w:tcPr>
            <w:tcW w:w="2149" w:type="dxa"/>
            <w:tcBorders>
              <w:right w:val="single" w:color="000000" w:sz="6" w:space="0"/>
            </w:tcBorders>
          </w:tcPr>
          <w:p w14:paraId="099EB474">
            <w:pPr>
              <w:pStyle w:val="37"/>
              <w:spacing w:before="26" w:line="360" w:lineRule="auto"/>
              <w:ind w:left="532" w:right="150" w:hanging="360"/>
              <w:rPr>
                <w:rFonts w:hint="eastAsia"/>
                <w:color w:val="auto"/>
                <w:sz w:val="21"/>
                <w:szCs w:val="21"/>
                <w:lang w:eastAsia="en-US"/>
              </w:rPr>
            </w:pPr>
            <w:r>
              <w:rPr>
                <w:color w:val="auto"/>
                <w:sz w:val="21"/>
                <w:szCs w:val="21"/>
              </w:rPr>
              <w:t>符合供应商资格中的资质要求</w:t>
            </w:r>
          </w:p>
        </w:tc>
        <w:tc>
          <w:tcPr>
            <w:tcW w:w="3869" w:type="dxa"/>
            <w:tcBorders>
              <w:top w:val="nil"/>
              <w:left w:val="single" w:color="000000" w:sz="6" w:space="0"/>
            </w:tcBorders>
          </w:tcPr>
          <w:p w14:paraId="4266124E">
            <w:pPr>
              <w:pStyle w:val="37"/>
              <w:spacing w:before="50" w:line="360" w:lineRule="auto"/>
              <w:ind w:left="106" w:right="147"/>
              <w:rPr>
                <w:rFonts w:hint="eastAsia"/>
                <w:color w:val="auto"/>
              </w:rPr>
            </w:pPr>
            <w:r>
              <w:rPr>
                <w:color w:val="auto"/>
                <w:sz w:val="21"/>
                <w:szCs w:val="21"/>
              </w:rPr>
              <w:t>提供符合供应商资格中要求的资质证书扫描件</w:t>
            </w:r>
          </w:p>
        </w:tc>
      </w:tr>
      <w:tr w14:paraId="25063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5" w:type="dxa"/>
            <w:vAlign w:val="center"/>
          </w:tcPr>
          <w:p w14:paraId="7F59B3A3">
            <w:pPr>
              <w:pStyle w:val="37"/>
              <w:spacing w:line="360" w:lineRule="auto"/>
              <w:ind w:left="19"/>
              <w:jc w:val="center"/>
              <w:rPr>
                <w:rFonts w:hint="eastAsia"/>
                <w:color w:val="auto"/>
                <w:sz w:val="21"/>
                <w:szCs w:val="21"/>
                <w:lang w:val="en-US"/>
              </w:rPr>
            </w:pPr>
            <w:r>
              <w:rPr>
                <w:rFonts w:hint="eastAsia"/>
                <w:color w:val="auto"/>
                <w:sz w:val="21"/>
                <w:szCs w:val="21"/>
                <w:lang w:val="en-US"/>
              </w:rPr>
              <w:t>3</w:t>
            </w:r>
          </w:p>
        </w:tc>
        <w:tc>
          <w:tcPr>
            <w:tcW w:w="1763" w:type="dxa"/>
          </w:tcPr>
          <w:p w14:paraId="0B314188">
            <w:pPr>
              <w:pStyle w:val="37"/>
              <w:spacing w:before="210" w:line="360" w:lineRule="auto"/>
              <w:ind w:left="230"/>
              <w:rPr>
                <w:rFonts w:hint="eastAsia"/>
                <w:color w:val="auto"/>
                <w:sz w:val="21"/>
                <w:szCs w:val="21"/>
                <w:lang w:eastAsia="en-US"/>
              </w:rPr>
            </w:pPr>
            <w:r>
              <w:rPr>
                <w:rFonts w:hint="eastAsia"/>
                <w:color w:val="auto"/>
                <w:sz w:val="21"/>
                <w:szCs w:val="21"/>
                <w:lang w:val="en-US"/>
              </w:rPr>
              <w:t>项目负责人资质</w:t>
            </w:r>
          </w:p>
        </w:tc>
        <w:tc>
          <w:tcPr>
            <w:tcW w:w="2149" w:type="dxa"/>
            <w:tcBorders>
              <w:right w:val="single" w:color="000000" w:sz="6" w:space="0"/>
            </w:tcBorders>
          </w:tcPr>
          <w:p w14:paraId="7E5F028C">
            <w:pPr>
              <w:pStyle w:val="37"/>
              <w:spacing w:line="360" w:lineRule="auto"/>
              <w:jc w:val="center"/>
              <w:rPr>
                <w:rFonts w:hint="eastAsia"/>
                <w:color w:val="auto"/>
                <w:spacing w:val="-14"/>
                <w:sz w:val="21"/>
                <w:szCs w:val="21"/>
              </w:rPr>
            </w:pPr>
            <w:r>
              <w:rPr>
                <w:color w:val="auto"/>
                <w:sz w:val="21"/>
                <w:szCs w:val="21"/>
              </w:rPr>
              <w:t>符合供应商资格中的资质要求</w:t>
            </w:r>
          </w:p>
        </w:tc>
        <w:tc>
          <w:tcPr>
            <w:tcW w:w="3869" w:type="dxa"/>
            <w:tcBorders>
              <w:left w:val="single" w:color="000000" w:sz="6" w:space="0"/>
            </w:tcBorders>
          </w:tcPr>
          <w:p w14:paraId="02156BC0">
            <w:pPr>
              <w:pStyle w:val="37"/>
              <w:spacing w:before="50" w:line="360" w:lineRule="auto"/>
              <w:ind w:left="106" w:right="147"/>
              <w:rPr>
                <w:rFonts w:hint="eastAsia"/>
                <w:color w:val="auto"/>
                <w:sz w:val="21"/>
                <w:szCs w:val="21"/>
              </w:rPr>
            </w:pPr>
            <w:r>
              <w:rPr>
                <w:color w:val="auto"/>
                <w:sz w:val="21"/>
                <w:szCs w:val="21"/>
              </w:rPr>
              <w:t>提供符合供应商资格中要求的资质证书扫描件</w:t>
            </w:r>
          </w:p>
        </w:tc>
      </w:tr>
      <w:tr w14:paraId="1E71B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trPr>
        <w:tc>
          <w:tcPr>
            <w:tcW w:w="715" w:type="dxa"/>
            <w:vAlign w:val="center"/>
          </w:tcPr>
          <w:p w14:paraId="64EE5804">
            <w:pPr>
              <w:pStyle w:val="37"/>
              <w:spacing w:before="2" w:line="360" w:lineRule="auto"/>
              <w:jc w:val="center"/>
              <w:rPr>
                <w:rFonts w:hint="eastAsia"/>
                <w:color w:val="auto"/>
                <w:sz w:val="21"/>
                <w:szCs w:val="21"/>
              </w:rPr>
            </w:pPr>
          </w:p>
          <w:p w14:paraId="66CF6432">
            <w:pPr>
              <w:pStyle w:val="37"/>
              <w:spacing w:line="360" w:lineRule="auto"/>
              <w:ind w:left="19"/>
              <w:jc w:val="center"/>
              <w:rPr>
                <w:rFonts w:hint="eastAsia"/>
                <w:color w:val="auto"/>
                <w:sz w:val="21"/>
                <w:szCs w:val="21"/>
              </w:rPr>
            </w:pPr>
            <w:r>
              <w:rPr>
                <w:rFonts w:hint="eastAsia"/>
                <w:color w:val="auto"/>
                <w:sz w:val="21"/>
                <w:szCs w:val="21"/>
                <w:lang w:val="en-US"/>
              </w:rPr>
              <w:t>4</w:t>
            </w:r>
          </w:p>
        </w:tc>
        <w:tc>
          <w:tcPr>
            <w:tcW w:w="1763" w:type="dxa"/>
            <w:vAlign w:val="center"/>
          </w:tcPr>
          <w:p w14:paraId="6A1F0938">
            <w:pPr>
              <w:pStyle w:val="37"/>
              <w:spacing w:before="209" w:line="360" w:lineRule="auto"/>
              <w:ind w:left="107" w:right="91"/>
              <w:jc w:val="center"/>
              <w:rPr>
                <w:rFonts w:hint="eastAsia"/>
                <w:color w:val="auto"/>
                <w:sz w:val="21"/>
                <w:szCs w:val="21"/>
                <w:lang w:eastAsia="en-US"/>
              </w:rPr>
            </w:pPr>
            <w:r>
              <w:rPr>
                <w:color w:val="auto"/>
                <w:sz w:val="21"/>
                <w:szCs w:val="21"/>
                <w:lang w:eastAsia="en-US"/>
              </w:rPr>
              <w:t>磋商响应函</w:t>
            </w:r>
          </w:p>
        </w:tc>
        <w:tc>
          <w:tcPr>
            <w:tcW w:w="2149" w:type="dxa"/>
            <w:tcBorders>
              <w:right w:val="single" w:color="000000" w:sz="6" w:space="0"/>
            </w:tcBorders>
            <w:vAlign w:val="center"/>
          </w:tcPr>
          <w:p w14:paraId="5B659B73">
            <w:pPr>
              <w:pStyle w:val="37"/>
              <w:spacing w:line="360" w:lineRule="auto"/>
              <w:ind w:left="105"/>
              <w:rPr>
                <w:rFonts w:hint="eastAsia"/>
                <w:color w:val="auto"/>
                <w:sz w:val="21"/>
                <w:szCs w:val="21"/>
              </w:rPr>
            </w:pPr>
            <w:r>
              <w:rPr>
                <w:color w:val="auto"/>
                <w:spacing w:val="-14"/>
                <w:sz w:val="21"/>
                <w:szCs w:val="21"/>
              </w:rPr>
              <w:t>格式、填写要求符合</w:t>
            </w:r>
            <w:r>
              <w:rPr>
                <w:color w:val="auto"/>
                <w:sz w:val="21"/>
                <w:szCs w:val="21"/>
              </w:rPr>
              <w:t>磋商文件规定并加盖供应商公章</w:t>
            </w:r>
          </w:p>
        </w:tc>
        <w:tc>
          <w:tcPr>
            <w:tcW w:w="3869" w:type="dxa"/>
            <w:tcBorders>
              <w:left w:val="single" w:color="000000" w:sz="6" w:space="0"/>
            </w:tcBorders>
            <w:vAlign w:val="center"/>
          </w:tcPr>
          <w:p w14:paraId="5A0B8C45">
            <w:pPr>
              <w:pStyle w:val="37"/>
              <w:spacing w:before="2" w:line="360" w:lineRule="auto"/>
              <w:rPr>
                <w:rFonts w:hint="eastAsia"/>
                <w:color w:val="auto"/>
                <w:sz w:val="21"/>
                <w:szCs w:val="21"/>
              </w:rPr>
            </w:pPr>
          </w:p>
          <w:p w14:paraId="292269C4">
            <w:pPr>
              <w:pStyle w:val="37"/>
              <w:spacing w:line="360" w:lineRule="auto"/>
              <w:ind w:firstLine="210" w:firstLineChars="100"/>
              <w:rPr>
                <w:rFonts w:hint="eastAsia"/>
                <w:color w:val="auto"/>
                <w:sz w:val="21"/>
                <w:szCs w:val="21"/>
              </w:rPr>
            </w:pPr>
            <w:r>
              <w:rPr>
                <w:color w:val="auto"/>
                <w:sz w:val="21"/>
                <w:szCs w:val="21"/>
              </w:rPr>
              <w:t>详见第六章响应文件格式</w:t>
            </w:r>
          </w:p>
        </w:tc>
      </w:tr>
      <w:tr w14:paraId="152BA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5" w:hRule="atLeast"/>
        </w:trPr>
        <w:tc>
          <w:tcPr>
            <w:tcW w:w="715" w:type="dxa"/>
            <w:vAlign w:val="center"/>
          </w:tcPr>
          <w:p w14:paraId="51DBAB2D">
            <w:pPr>
              <w:pStyle w:val="37"/>
              <w:spacing w:before="184" w:line="360" w:lineRule="auto"/>
              <w:ind w:left="19"/>
              <w:jc w:val="center"/>
              <w:rPr>
                <w:rFonts w:hint="eastAsia"/>
                <w:color w:val="auto"/>
                <w:sz w:val="21"/>
                <w:szCs w:val="21"/>
              </w:rPr>
            </w:pPr>
            <w:r>
              <w:rPr>
                <w:rFonts w:hint="eastAsia"/>
                <w:color w:val="auto"/>
                <w:sz w:val="21"/>
                <w:szCs w:val="21"/>
                <w:lang w:val="en-US"/>
              </w:rPr>
              <w:t>5</w:t>
            </w:r>
          </w:p>
        </w:tc>
        <w:tc>
          <w:tcPr>
            <w:tcW w:w="1763" w:type="dxa"/>
            <w:vAlign w:val="center"/>
          </w:tcPr>
          <w:p w14:paraId="0D62A249">
            <w:pPr>
              <w:pStyle w:val="37"/>
              <w:spacing w:before="158" w:line="360" w:lineRule="auto"/>
              <w:ind w:left="107" w:right="91"/>
              <w:jc w:val="center"/>
              <w:rPr>
                <w:rFonts w:hint="eastAsia"/>
                <w:color w:val="auto"/>
                <w:sz w:val="21"/>
                <w:szCs w:val="21"/>
                <w:lang w:eastAsia="en-US"/>
              </w:rPr>
            </w:pPr>
            <w:r>
              <w:rPr>
                <w:color w:val="auto"/>
                <w:sz w:val="21"/>
                <w:szCs w:val="21"/>
                <w:lang w:eastAsia="en-US"/>
              </w:rPr>
              <w:t>磋商授权书</w:t>
            </w:r>
          </w:p>
        </w:tc>
        <w:tc>
          <w:tcPr>
            <w:tcW w:w="2149" w:type="dxa"/>
            <w:tcBorders>
              <w:right w:val="single" w:color="000000" w:sz="6" w:space="0"/>
            </w:tcBorders>
            <w:vAlign w:val="center"/>
          </w:tcPr>
          <w:p w14:paraId="56683583">
            <w:pPr>
              <w:pStyle w:val="37"/>
              <w:spacing w:line="360" w:lineRule="auto"/>
              <w:ind w:left="172" w:right="83" w:hanging="68"/>
              <w:jc w:val="both"/>
              <w:rPr>
                <w:rFonts w:hint="eastAsia"/>
                <w:color w:val="auto"/>
                <w:sz w:val="21"/>
                <w:szCs w:val="21"/>
              </w:rPr>
            </w:pPr>
            <w:r>
              <w:rPr>
                <w:color w:val="auto"/>
                <w:spacing w:val="-16"/>
                <w:sz w:val="21"/>
                <w:szCs w:val="21"/>
              </w:rPr>
              <w:t>格式、填写要求符合</w:t>
            </w:r>
            <w:r>
              <w:rPr>
                <w:color w:val="auto"/>
                <w:sz w:val="21"/>
                <w:szCs w:val="21"/>
              </w:rPr>
              <w:t>磋商文件规定并加盖供应商公章</w:t>
            </w:r>
          </w:p>
        </w:tc>
        <w:tc>
          <w:tcPr>
            <w:tcW w:w="3869" w:type="dxa"/>
            <w:tcBorders>
              <w:left w:val="single" w:color="000000" w:sz="6" w:space="0"/>
            </w:tcBorders>
            <w:vAlign w:val="center"/>
          </w:tcPr>
          <w:p w14:paraId="2BE46C6C">
            <w:pPr>
              <w:pStyle w:val="37"/>
              <w:spacing w:before="23" w:line="360" w:lineRule="auto"/>
              <w:ind w:left="106" w:right="148"/>
              <w:jc w:val="both"/>
              <w:rPr>
                <w:rFonts w:hint="eastAsia"/>
                <w:color w:val="auto"/>
                <w:sz w:val="21"/>
                <w:szCs w:val="21"/>
              </w:rPr>
            </w:pPr>
            <w:r>
              <w:rPr>
                <w:color w:val="auto"/>
                <w:sz w:val="21"/>
                <w:szCs w:val="21"/>
              </w:rPr>
              <w:t>法定代表人参加磋商的无需此件， 提供身份证明即可。详见第六章响应文件格式</w:t>
            </w:r>
          </w:p>
        </w:tc>
      </w:tr>
      <w:tr w14:paraId="4A749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15" w:type="dxa"/>
            <w:vAlign w:val="center"/>
          </w:tcPr>
          <w:p w14:paraId="40C8283C">
            <w:pPr>
              <w:pStyle w:val="37"/>
              <w:spacing w:before="184" w:line="360" w:lineRule="auto"/>
              <w:ind w:firstLine="210" w:firstLineChars="100"/>
              <w:jc w:val="both"/>
              <w:rPr>
                <w:rFonts w:hint="eastAsia" w:eastAsia="宋体"/>
                <w:color w:val="auto"/>
                <w:sz w:val="21"/>
                <w:szCs w:val="21"/>
                <w:lang w:val="en-US" w:eastAsia="zh-CN"/>
              </w:rPr>
            </w:pPr>
            <w:r>
              <w:rPr>
                <w:rFonts w:hint="eastAsia"/>
                <w:color w:val="auto"/>
                <w:sz w:val="21"/>
                <w:szCs w:val="21"/>
                <w:lang w:val="en-US" w:eastAsia="zh-CN"/>
              </w:rPr>
              <w:t>6</w:t>
            </w:r>
          </w:p>
        </w:tc>
        <w:tc>
          <w:tcPr>
            <w:tcW w:w="1763" w:type="dxa"/>
            <w:vAlign w:val="center"/>
          </w:tcPr>
          <w:p w14:paraId="19758295">
            <w:pPr>
              <w:pStyle w:val="37"/>
              <w:spacing w:before="158" w:line="360" w:lineRule="auto"/>
              <w:ind w:left="107" w:right="91"/>
              <w:jc w:val="center"/>
              <w:rPr>
                <w:rFonts w:hint="eastAsia" w:eastAsia="宋体"/>
                <w:color w:val="auto"/>
                <w:sz w:val="21"/>
                <w:szCs w:val="21"/>
                <w:lang w:val="en-US" w:eastAsia="zh-CN"/>
              </w:rPr>
            </w:pPr>
            <w:r>
              <w:rPr>
                <w:rFonts w:hint="eastAsia"/>
                <w:color w:val="auto"/>
                <w:sz w:val="21"/>
                <w:szCs w:val="21"/>
                <w:lang w:val="en-US" w:eastAsia="zh-CN"/>
              </w:rPr>
              <w:t>电子响应文件</w:t>
            </w:r>
          </w:p>
        </w:tc>
        <w:tc>
          <w:tcPr>
            <w:tcW w:w="2149" w:type="dxa"/>
            <w:tcBorders>
              <w:right w:val="single" w:color="000000" w:sz="6" w:space="0"/>
            </w:tcBorders>
            <w:vAlign w:val="center"/>
          </w:tcPr>
          <w:p w14:paraId="3234F2D0">
            <w:pPr>
              <w:pStyle w:val="37"/>
              <w:spacing w:line="360" w:lineRule="auto"/>
              <w:ind w:left="141" w:right="121" w:firstLine="2"/>
              <w:jc w:val="center"/>
              <w:rPr>
                <w:rFonts w:hint="eastAsia" w:eastAsia="宋体"/>
                <w:color w:val="auto"/>
                <w:sz w:val="21"/>
                <w:szCs w:val="21"/>
                <w:lang w:val="en-US" w:eastAsia="zh-CN"/>
              </w:rPr>
            </w:pPr>
            <w:r>
              <w:rPr>
                <w:rFonts w:hint="eastAsia"/>
                <w:color w:val="auto"/>
                <w:sz w:val="21"/>
                <w:szCs w:val="21"/>
                <w:lang w:val="en-US" w:eastAsia="zh-CN"/>
              </w:rPr>
              <w:t>符合磋商文件要求</w:t>
            </w:r>
          </w:p>
        </w:tc>
        <w:tc>
          <w:tcPr>
            <w:tcW w:w="3869" w:type="dxa"/>
            <w:tcBorders>
              <w:left w:val="single" w:color="000000" w:sz="6" w:space="0"/>
            </w:tcBorders>
            <w:vAlign w:val="center"/>
          </w:tcPr>
          <w:p w14:paraId="69821518">
            <w:pPr>
              <w:pStyle w:val="37"/>
              <w:spacing w:before="184" w:line="360" w:lineRule="auto"/>
              <w:ind w:firstLine="210" w:firstLineChars="100"/>
              <w:rPr>
                <w:color w:val="auto"/>
                <w:sz w:val="21"/>
                <w:szCs w:val="21"/>
              </w:rPr>
            </w:pPr>
          </w:p>
        </w:tc>
      </w:tr>
      <w:tr w14:paraId="00329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715" w:type="dxa"/>
            <w:vAlign w:val="center"/>
          </w:tcPr>
          <w:p w14:paraId="4916808E">
            <w:pPr>
              <w:pStyle w:val="37"/>
              <w:spacing w:before="184" w:line="360" w:lineRule="auto"/>
              <w:ind w:firstLine="210" w:firstLineChars="100"/>
              <w:jc w:val="both"/>
              <w:rPr>
                <w:rFonts w:hint="eastAsia" w:eastAsia="宋体"/>
                <w:color w:val="auto"/>
                <w:sz w:val="21"/>
                <w:szCs w:val="21"/>
                <w:lang w:eastAsia="zh-CN"/>
              </w:rPr>
            </w:pPr>
            <w:r>
              <w:rPr>
                <w:rFonts w:hint="eastAsia"/>
                <w:color w:val="auto"/>
                <w:sz w:val="21"/>
                <w:szCs w:val="21"/>
                <w:lang w:val="en-US" w:eastAsia="zh-CN"/>
              </w:rPr>
              <w:t>7</w:t>
            </w:r>
          </w:p>
        </w:tc>
        <w:tc>
          <w:tcPr>
            <w:tcW w:w="1763" w:type="dxa"/>
            <w:vAlign w:val="center"/>
          </w:tcPr>
          <w:p w14:paraId="2E19F1B6">
            <w:pPr>
              <w:pStyle w:val="37"/>
              <w:spacing w:before="158" w:line="360" w:lineRule="auto"/>
              <w:ind w:left="107" w:right="91"/>
              <w:jc w:val="center"/>
              <w:rPr>
                <w:rFonts w:hint="eastAsia"/>
                <w:color w:val="auto"/>
                <w:sz w:val="21"/>
                <w:szCs w:val="21"/>
                <w:lang w:eastAsia="en-US"/>
              </w:rPr>
            </w:pPr>
            <w:r>
              <w:rPr>
                <w:color w:val="auto"/>
                <w:sz w:val="21"/>
                <w:szCs w:val="21"/>
                <w:lang w:eastAsia="en-US"/>
              </w:rPr>
              <w:t>磋商报价</w:t>
            </w:r>
          </w:p>
        </w:tc>
        <w:tc>
          <w:tcPr>
            <w:tcW w:w="2149" w:type="dxa"/>
            <w:tcBorders>
              <w:right w:val="single" w:color="000000" w:sz="6" w:space="0"/>
            </w:tcBorders>
            <w:vAlign w:val="center"/>
          </w:tcPr>
          <w:p w14:paraId="044EEE1B">
            <w:pPr>
              <w:pStyle w:val="37"/>
              <w:spacing w:line="360" w:lineRule="auto"/>
              <w:ind w:left="141" w:right="121" w:firstLine="2"/>
              <w:jc w:val="center"/>
              <w:rPr>
                <w:rFonts w:hint="eastAsia"/>
                <w:color w:val="auto"/>
                <w:sz w:val="21"/>
                <w:szCs w:val="21"/>
              </w:rPr>
            </w:pPr>
            <w:r>
              <w:rPr>
                <w:color w:val="auto"/>
                <w:sz w:val="21"/>
                <w:szCs w:val="21"/>
              </w:rPr>
              <w:t>符合磋商文件</w:t>
            </w:r>
            <w:r>
              <w:rPr>
                <w:color w:val="auto"/>
                <w:spacing w:val="-15"/>
                <w:sz w:val="21"/>
                <w:szCs w:val="21"/>
              </w:rPr>
              <w:t>要求</w:t>
            </w:r>
          </w:p>
        </w:tc>
        <w:tc>
          <w:tcPr>
            <w:tcW w:w="3869" w:type="dxa"/>
            <w:tcBorders>
              <w:left w:val="single" w:color="000000" w:sz="6" w:space="0"/>
            </w:tcBorders>
            <w:vAlign w:val="center"/>
          </w:tcPr>
          <w:p w14:paraId="318BCE26">
            <w:pPr>
              <w:pStyle w:val="37"/>
              <w:spacing w:before="184" w:line="360" w:lineRule="auto"/>
              <w:ind w:firstLine="210" w:firstLineChars="100"/>
              <w:rPr>
                <w:rFonts w:hint="eastAsia"/>
                <w:color w:val="auto"/>
                <w:sz w:val="21"/>
                <w:szCs w:val="21"/>
              </w:rPr>
            </w:pPr>
            <w:r>
              <w:rPr>
                <w:color w:val="auto"/>
                <w:sz w:val="21"/>
                <w:szCs w:val="21"/>
              </w:rPr>
              <w:t>详见第六章响应文件格式</w:t>
            </w:r>
          </w:p>
        </w:tc>
      </w:tr>
      <w:tr w14:paraId="335F7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715" w:type="dxa"/>
            <w:vAlign w:val="center"/>
          </w:tcPr>
          <w:p w14:paraId="35CAAC81">
            <w:pPr>
              <w:pStyle w:val="37"/>
              <w:spacing w:line="360" w:lineRule="auto"/>
              <w:ind w:firstLine="210" w:firstLineChars="100"/>
              <w:jc w:val="both"/>
              <w:rPr>
                <w:rFonts w:hint="eastAsia" w:eastAsia="宋体"/>
                <w:color w:val="auto"/>
                <w:sz w:val="21"/>
                <w:szCs w:val="21"/>
                <w:lang w:eastAsia="zh-CN"/>
              </w:rPr>
            </w:pPr>
            <w:r>
              <w:rPr>
                <w:rFonts w:hint="eastAsia"/>
                <w:color w:val="auto"/>
                <w:sz w:val="21"/>
                <w:szCs w:val="21"/>
                <w:lang w:val="en-US" w:eastAsia="zh-CN"/>
              </w:rPr>
              <w:t>8</w:t>
            </w:r>
          </w:p>
        </w:tc>
        <w:tc>
          <w:tcPr>
            <w:tcW w:w="1763" w:type="dxa"/>
            <w:vAlign w:val="center"/>
          </w:tcPr>
          <w:p w14:paraId="3080B365">
            <w:pPr>
              <w:pStyle w:val="37"/>
              <w:spacing w:line="360" w:lineRule="auto"/>
              <w:ind w:right="74"/>
              <w:jc w:val="center"/>
              <w:rPr>
                <w:rFonts w:hint="eastAsia"/>
                <w:color w:val="auto"/>
                <w:sz w:val="21"/>
                <w:szCs w:val="21"/>
                <w:lang w:eastAsia="en-US"/>
              </w:rPr>
            </w:pPr>
            <w:r>
              <w:rPr>
                <w:color w:val="auto"/>
                <w:sz w:val="21"/>
                <w:szCs w:val="21"/>
                <w:lang w:eastAsia="en-US"/>
              </w:rPr>
              <w:t>商务响应情况</w:t>
            </w:r>
          </w:p>
        </w:tc>
        <w:tc>
          <w:tcPr>
            <w:tcW w:w="2149" w:type="dxa"/>
            <w:tcBorders>
              <w:right w:val="single" w:color="000000" w:sz="6" w:space="0"/>
            </w:tcBorders>
            <w:vAlign w:val="center"/>
          </w:tcPr>
          <w:p w14:paraId="74500196">
            <w:pPr>
              <w:pStyle w:val="37"/>
              <w:spacing w:line="360" w:lineRule="auto"/>
              <w:ind w:left="105" w:right="83"/>
              <w:jc w:val="center"/>
              <w:rPr>
                <w:rFonts w:hint="eastAsia"/>
                <w:color w:val="auto"/>
                <w:sz w:val="21"/>
                <w:szCs w:val="21"/>
              </w:rPr>
            </w:pPr>
            <w:r>
              <w:rPr>
                <w:color w:val="auto"/>
                <w:sz w:val="21"/>
                <w:szCs w:val="21"/>
              </w:rPr>
              <w:t>符合磋商文件要求</w:t>
            </w:r>
          </w:p>
        </w:tc>
        <w:tc>
          <w:tcPr>
            <w:tcW w:w="3869" w:type="dxa"/>
            <w:tcBorders>
              <w:left w:val="single" w:color="000000" w:sz="6" w:space="0"/>
            </w:tcBorders>
            <w:vAlign w:val="center"/>
          </w:tcPr>
          <w:p w14:paraId="23BF13CB">
            <w:pPr>
              <w:pStyle w:val="37"/>
              <w:spacing w:line="360" w:lineRule="auto"/>
              <w:ind w:firstLine="210" w:firstLineChars="100"/>
              <w:rPr>
                <w:rFonts w:hint="eastAsia"/>
                <w:color w:val="auto"/>
                <w:sz w:val="21"/>
                <w:szCs w:val="21"/>
              </w:rPr>
            </w:pPr>
            <w:r>
              <w:rPr>
                <w:color w:val="auto"/>
                <w:sz w:val="21"/>
                <w:szCs w:val="21"/>
              </w:rPr>
              <w:t>详见第六章响应文件格式</w:t>
            </w:r>
          </w:p>
        </w:tc>
      </w:tr>
      <w:tr w14:paraId="7C542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715" w:type="dxa"/>
            <w:vAlign w:val="center"/>
          </w:tcPr>
          <w:p w14:paraId="44CD2E29">
            <w:pPr>
              <w:pStyle w:val="37"/>
              <w:spacing w:line="360" w:lineRule="auto"/>
              <w:ind w:left="102" w:right="83" w:firstLine="210" w:firstLineChars="100"/>
              <w:jc w:val="both"/>
              <w:rPr>
                <w:rFonts w:hint="eastAsia" w:eastAsia="宋体"/>
                <w:color w:val="auto"/>
                <w:sz w:val="21"/>
                <w:szCs w:val="21"/>
                <w:lang w:val="en-US" w:eastAsia="zh-CN"/>
              </w:rPr>
            </w:pPr>
            <w:r>
              <w:rPr>
                <w:rFonts w:hint="eastAsia"/>
                <w:color w:val="auto"/>
                <w:sz w:val="21"/>
                <w:szCs w:val="21"/>
                <w:lang w:val="en-US" w:eastAsia="zh-CN"/>
              </w:rPr>
              <w:t>9</w:t>
            </w:r>
          </w:p>
        </w:tc>
        <w:tc>
          <w:tcPr>
            <w:tcW w:w="1763" w:type="dxa"/>
            <w:vAlign w:val="center"/>
          </w:tcPr>
          <w:p w14:paraId="76FA4C05">
            <w:pPr>
              <w:pStyle w:val="37"/>
              <w:spacing w:line="360" w:lineRule="auto"/>
              <w:ind w:left="107" w:right="91"/>
              <w:jc w:val="center"/>
              <w:rPr>
                <w:rFonts w:hint="eastAsia"/>
                <w:color w:val="auto"/>
                <w:sz w:val="21"/>
                <w:szCs w:val="21"/>
                <w:lang w:eastAsia="en-US"/>
              </w:rPr>
            </w:pPr>
            <w:r>
              <w:rPr>
                <w:color w:val="auto"/>
                <w:sz w:val="21"/>
                <w:szCs w:val="21"/>
                <w:lang w:eastAsia="en-US"/>
              </w:rPr>
              <w:t>其他要求</w:t>
            </w:r>
          </w:p>
        </w:tc>
        <w:tc>
          <w:tcPr>
            <w:tcW w:w="2149" w:type="dxa"/>
            <w:tcBorders>
              <w:right w:val="single" w:color="000000" w:sz="6" w:space="0"/>
            </w:tcBorders>
            <w:vAlign w:val="center"/>
          </w:tcPr>
          <w:p w14:paraId="37112898">
            <w:pPr>
              <w:pStyle w:val="37"/>
              <w:spacing w:line="360" w:lineRule="auto"/>
              <w:ind w:left="105" w:right="83"/>
              <w:jc w:val="center"/>
              <w:rPr>
                <w:rFonts w:hint="eastAsia"/>
                <w:color w:val="auto"/>
                <w:sz w:val="21"/>
                <w:szCs w:val="21"/>
              </w:rPr>
            </w:pPr>
            <w:r>
              <w:rPr>
                <w:color w:val="auto"/>
                <w:spacing w:val="-16"/>
                <w:sz w:val="21"/>
                <w:szCs w:val="21"/>
              </w:rPr>
              <w:t>符合法律、行政法规</w:t>
            </w:r>
            <w:r>
              <w:rPr>
                <w:color w:val="auto"/>
                <w:sz w:val="21"/>
                <w:szCs w:val="21"/>
              </w:rPr>
              <w:t>规定的其他条件或磋商文件列明的其他要求</w:t>
            </w:r>
          </w:p>
        </w:tc>
        <w:tc>
          <w:tcPr>
            <w:tcW w:w="3869" w:type="dxa"/>
            <w:tcBorders>
              <w:left w:val="single" w:color="000000" w:sz="6" w:space="0"/>
            </w:tcBorders>
            <w:vAlign w:val="center"/>
          </w:tcPr>
          <w:p w14:paraId="45167610">
            <w:pPr>
              <w:pStyle w:val="37"/>
              <w:spacing w:line="360" w:lineRule="auto"/>
              <w:rPr>
                <w:rFonts w:hint="eastAsia"/>
                <w:color w:val="auto"/>
                <w:sz w:val="21"/>
                <w:szCs w:val="21"/>
              </w:rPr>
            </w:pPr>
            <w:r>
              <w:rPr>
                <w:rFonts w:hint="eastAsia"/>
                <w:color w:val="auto"/>
                <w:sz w:val="21"/>
                <w:szCs w:val="21"/>
              </w:rPr>
              <w:t xml:space="preserve">    </w:t>
            </w:r>
          </w:p>
        </w:tc>
      </w:tr>
    </w:tbl>
    <w:p w14:paraId="64A53049">
      <w:pPr>
        <w:spacing w:before="1" w:line="360" w:lineRule="auto"/>
        <w:rPr>
          <w:rFonts w:hint="eastAsia" w:ascii="宋体" w:hAnsi="宋体" w:eastAsia="宋体" w:cs="宋体"/>
          <w:color w:val="auto"/>
        </w:rPr>
      </w:pPr>
      <w:r>
        <w:rPr>
          <w:rFonts w:hint="eastAsia" w:ascii="宋体" w:hAnsi="宋体" w:eastAsia="宋体" w:cs="宋体"/>
          <w:b/>
          <w:color w:val="auto"/>
        </w:rPr>
        <w:t>初审指标通过标准：</w:t>
      </w:r>
      <w:r>
        <w:rPr>
          <w:rFonts w:hint="eastAsia" w:ascii="宋体" w:hAnsi="宋体" w:eastAsia="宋体" w:cs="宋体"/>
          <w:color w:val="auto"/>
        </w:rPr>
        <w:t>供应商必须通过初审表中的全部评审指标。</w:t>
      </w:r>
    </w:p>
    <w:p w14:paraId="09B6A13C">
      <w:pPr>
        <w:pStyle w:val="2"/>
        <w:rPr>
          <w:rFonts w:hint="eastAsia"/>
        </w:rPr>
      </w:pPr>
    </w:p>
    <w:p w14:paraId="7DE76629">
      <w:pPr>
        <w:pStyle w:val="7"/>
        <w:keepNext w:val="0"/>
        <w:keepLines w:val="0"/>
        <w:numPr>
          <w:ilvl w:val="1"/>
          <w:numId w:val="7"/>
        </w:numPr>
        <w:tabs>
          <w:tab w:val="left" w:pos="1434"/>
        </w:tabs>
        <w:autoSpaceDE w:val="0"/>
        <w:autoSpaceDN w:val="0"/>
        <w:spacing w:before="158" w:after="0" w:line="360" w:lineRule="auto"/>
        <w:ind w:left="1434" w:hanging="425"/>
        <w:rPr>
          <w:rFonts w:hint="eastAsia" w:ascii="宋体" w:hAnsi="宋体" w:eastAsia="宋体" w:cs="宋体"/>
          <w:b w:val="0"/>
          <w:color w:val="auto"/>
          <w:sz w:val="21"/>
          <w:szCs w:val="21"/>
        </w:rPr>
      </w:pPr>
      <w:r>
        <w:rPr>
          <w:rFonts w:hint="eastAsia" w:ascii="宋体" w:hAnsi="宋体" w:eastAsia="宋体" w:cs="宋体"/>
          <w:b w:val="0"/>
          <w:color w:val="auto"/>
          <w:sz w:val="21"/>
          <w:szCs w:val="21"/>
        </w:rPr>
        <w:t>综合评分</w:t>
      </w:r>
    </w:p>
    <w:p w14:paraId="4B7D3662">
      <w:pPr>
        <w:pStyle w:val="38"/>
        <w:keepNext w:val="0"/>
        <w:keepLines w:val="0"/>
        <w:pageBreakBefore w:val="0"/>
        <w:widowControl w:val="0"/>
        <w:numPr>
          <w:ilvl w:val="2"/>
          <w:numId w:val="7"/>
        </w:numPr>
        <w:tabs>
          <w:tab w:val="left" w:pos="1653"/>
        </w:tabs>
        <w:kinsoku/>
        <w:wordWrap/>
        <w:overflowPunct/>
        <w:topLinePunct w:val="0"/>
        <w:autoSpaceDE w:val="0"/>
        <w:autoSpaceDN w:val="0"/>
        <w:bidi w:val="0"/>
        <w:adjustRightInd/>
        <w:snapToGrid/>
        <w:spacing w:before="160" w:line="360" w:lineRule="auto"/>
        <w:ind w:left="573" w:right="0" w:firstLine="437"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磋商小组按照下表对进入综合评分的所有供应商的响应文件进行综合评分。</w:t>
      </w:r>
    </w:p>
    <w:p w14:paraId="79A01040">
      <w:pPr>
        <w:pStyle w:val="23"/>
        <w:ind w:left="0" w:leftChars="0" w:firstLine="0" w:firstLineChars="0"/>
        <w:rPr>
          <w:rFonts w:hint="eastAsia" w:ascii="宋体" w:hAnsi="宋体" w:eastAsia="宋体" w:cs="宋体"/>
          <w:color w:val="auto"/>
          <w:szCs w:val="21"/>
        </w:rPr>
      </w:pPr>
      <w:r>
        <w:rPr>
          <w:rFonts w:hint="eastAsia" w:ascii="宋体" w:hAnsi="宋体" w:eastAsia="宋体" w:cs="宋体"/>
          <w:color w:val="auto"/>
          <w:szCs w:val="21"/>
        </w:rPr>
        <w:t>本项目综合评分满分为 100 分，其中：技术资信分值占总分值的权重</w:t>
      </w:r>
      <w:r>
        <w:rPr>
          <w:rFonts w:hint="eastAsia" w:ascii="宋体" w:hAnsi="宋体" w:eastAsia="宋体" w:cs="宋体"/>
          <w:color w:val="auto"/>
          <w:szCs w:val="21"/>
          <w:u w:val="single"/>
          <w:lang w:val="en-US" w:eastAsia="zh-CN"/>
        </w:rPr>
        <w:t xml:space="preserve">90 </w:t>
      </w:r>
      <w:r>
        <w:rPr>
          <w:rFonts w:hint="eastAsia" w:ascii="宋体" w:hAnsi="宋体" w:eastAsia="宋体" w:cs="宋体"/>
          <w:color w:val="auto"/>
          <w:szCs w:val="21"/>
        </w:rPr>
        <w:t>%，价格分值占总分值的权重为</w:t>
      </w:r>
      <w:r>
        <w:rPr>
          <w:rFonts w:hint="eastAsia" w:ascii="宋体" w:hAnsi="宋体" w:eastAsia="宋体" w:cs="宋体"/>
          <w:color w:val="auto"/>
          <w:szCs w:val="21"/>
          <w:u w:val="single"/>
          <w:lang w:val="en-US" w:eastAsia="zh-CN"/>
        </w:rPr>
        <w:t xml:space="preserve"> 10 </w:t>
      </w:r>
      <w:r>
        <w:rPr>
          <w:rFonts w:hint="eastAsia" w:ascii="宋体" w:hAnsi="宋体" w:eastAsia="宋体" w:cs="宋体"/>
          <w:color w:val="auto"/>
          <w:szCs w:val="21"/>
        </w:rPr>
        <w:t>%。（价格分值占总分值的比重(即权值)为</w:t>
      </w:r>
      <w:r>
        <w:rPr>
          <w:rFonts w:hint="eastAsia" w:ascii="宋体" w:hAnsi="宋体" w:eastAsia="宋体" w:cs="宋体"/>
          <w:color w:val="auto"/>
          <w:szCs w:val="21"/>
          <w:lang w:val="en-US" w:eastAsia="zh-CN"/>
        </w:rPr>
        <w:t>10</w:t>
      </w:r>
      <w:r>
        <w:rPr>
          <w:rFonts w:hint="eastAsia" w:ascii="宋体" w:hAnsi="宋体" w:eastAsia="宋体" w:cs="宋体"/>
          <w:color w:val="auto"/>
          <w:szCs w:val="21"/>
        </w:rPr>
        <w:t>%至</w:t>
      </w:r>
      <w:r>
        <w:rPr>
          <w:rFonts w:hint="eastAsia" w:ascii="宋体" w:hAnsi="宋体" w:eastAsia="宋体" w:cs="宋体"/>
          <w:color w:val="auto"/>
          <w:szCs w:val="21"/>
          <w:lang w:val="en-US" w:eastAsia="zh-CN"/>
        </w:rPr>
        <w:t>30</w:t>
      </w:r>
      <w:r>
        <w:rPr>
          <w:rFonts w:hint="eastAsia" w:ascii="宋体" w:hAnsi="宋体" w:eastAsia="宋体" w:cs="宋体"/>
          <w:color w:val="auto"/>
          <w:szCs w:val="21"/>
        </w:rPr>
        <w:t>%。）《竞争性磋商管理办法规定》具体评分细则如下：</w:t>
      </w:r>
    </w:p>
    <w:tbl>
      <w:tblPr>
        <w:tblStyle w:val="24"/>
        <w:tblW w:w="929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1278"/>
        <w:gridCol w:w="6924"/>
      </w:tblGrid>
      <w:tr w14:paraId="0C2E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090" w:type="dxa"/>
            <w:vAlign w:val="center"/>
          </w:tcPr>
          <w:p w14:paraId="07BB1BB8">
            <w:pPr>
              <w:spacing w:before="181" w:line="377" w:lineRule="auto"/>
              <w:ind w:left="113" w:right="105"/>
              <w:rPr>
                <w:color w:val="auto"/>
              </w:rPr>
            </w:pPr>
            <w:r>
              <w:rPr>
                <w:rFonts w:hint="eastAsia"/>
                <w:b/>
                <w:bCs/>
                <w:color w:val="auto"/>
              </w:rPr>
              <w:t>评审内容</w:t>
            </w:r>
          </w:p>
        </w:tc>
        <w:tc>
          <w:tcPr>
            <w:tcW w:w="8202" w:type="dxa"/>
            <w:gridSpan w:val="2"/>
            <w:vAlign w:val="center"/>
          </w:tcPr>
          <w:p w14:paraId="6554D69A">
            <w:pPr>
              <w:spacing w:before="181" w:line="377" w:lineRule="auto"/>
              <w:ind w:left="113" w:right="105"/>
              <w:jc w:val="center"/>
              <w:rPr>
                <w:color w:val="auto"/>
              </w:rPr>
            </w:pPr>
            <w:r>
              <w:rPr>
                <w:rFonts w:hint="eastAsia"/>
                <w:b/>
                <w:bCs/>
                <w:color w:val="auto"/>
              </w:rPr>
              <w:t>评审因素及分值</w:t>
            </w:r>
          </w:p>
        </w:tc>
      </w:tr>
      <w:tr w14:paraId="6F7B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090" w:type="dxa"/>
            <w:vMerge w:val="restart"/>
            <w:vAlign w:val="center"/>
          </w:tcPr>
          <w:p w14:paraId="6E819675">
            <w:pPr>
              <w:spacing w:line="377" w:lineRule="auto"/>
              <w:ind w:left="113"/>
              <w:rPr>
                <w:color w:val="auto"/>
              </w:rPr>
            </w:pPr>
            <w:r>
              <w:rPr>
                <w:rFonts w:hint="eastAsia"/>
                <w:color w:val="auto"/>
              </w:rPr>
              <w:t>技术资信分（90分）</w:t>
            </w:r>
          </w:p>
          <w:p w14:paraId="3236B406">
            <w:pPr>
              <w:spacing w:before="181" w:line="377" w:lineRule="auto"/>
              <w:ind w:left="113" w:right="105"/>
              <w:rPr>
                <w:color w:val="auto"/>
              </w:rPr>
            </w:pPr>
          </w:p>
          <w:p w14:paraId="7B10E16B">
            <w:pPr>
              <w:spacing w:before="181" w:line="377" w:lineRule="auto"/>
              <w:ind w:left="113" w:right="105"/>
              <w:rPr>
                <w:color w:val="auto"/>
              </w:rPr>
            </w:pPr>
          </w:p>
          <w:p w14:paraId="6E672329">
            <w:pPr>
              <w:spacing w:before="181" w:line="377" w:lineRule="auto"/>
              <w:ind w:left="113" w:right="105"/>
              <w:rPr>
                <w:color w:val="auto"/>
              </w:rPr>
            </w:pPr>
          </w:p>
          <w:p w14:paraId="2280504A">
            <w:pPr>
              <w:spacing w:before="181" w:line="377" w:lineRule="auto"/>
              <w:ind w:left="113" w:right="105"/>
              <w:rPr>
                <w:color w:val="auto"/>
              </w:rPr>
            </w:pPr>
          </w:p>
          <w:p w14:paraId="626CDEAA">
            <w:pPr>
              <w:spacing w:before="181" w:line="377" w:lineRule="auto"/>
              <w:ind w:left="113" w:right="105"/>
              <w:rPr>
                <w:color w:val="auto"/>
              </w:rPr>
            </w:pPr>
          </w:p>
          <w:p w14:paraId="5659B7ED">
            <w:pPr>
              <w:spacing w:before="181" w:line="377" w:lineRule="auto"/>
              <w:ind w:left="113" w:right="105"/>
              <w:rPr>
                <w:color w:val="auto"/>
              </w:rPr>
            </w:pPr>
          </w:p>
          <w:p w14:paraId="02D4CC63">
            <w:pPr>
              <w:spacing w:before="181" w:line="377" w:lineRule="auto"/>
              <w:ind w:left="113" w:right="105"/>
              <w:rPr>
                <w:color w:val="auto"/>
              </w:rPr>
            </w:pPr>
          </w:p>
        </w:tc>
        <w:tc>
          <w:tcPr>
            <w:tcW w:w="1278" w:type="dxa"/>
          </w:tcPr>
          <w:p w14:paraId="3BEB583B">
            <w:pPr>
              <w:autoSpaceDE w:val="0"/>
              <w:autoSpaceDN w:val="0"/>
              <w:spacing w:before="2" w:line="360" w:lineRule="auto"/>
              <w:ind w:left="353" w:right="346"/>
              <w:jc w:val="center"/>
              <w:rPr>
                <w:rFonts w:hint="eastAsia" w:ascii="宋体" w:hAnsi="宋体" w:cs="宋体"/>
                <w:color w:val="auto"/>
                <w:kern w:val="0"/>
                <w:lang w:val="zh-CN" w:bidi="zh-CN"/>
              </w:rPr>
            </w:pPr>
          </w:p>
          <w:p w14:paraId="735B2CEF">
            <w:pPr>
              <w:autoSpaceDE w:val="0"/>
              <w:autoSpaceDN w:val="0"/>
              <w:spacing w:before="2" w:line="360" w:lineRule="auto"/>
              <w:ind w:left="353" w:right="346"/>
              <w:jc w:val="center"/>
              <w:rPr>
                <w:rFonts w:hint="eastAsia" w:ascii="宋体" w:hAnsi="宋体" w:cs="宋体"/>
                <w:color w:val="auto"/>
                <w:kern w:val="0"/>
                <w:lang w:val="zh-CN" w:bidi="zh-CN"/>
              </w:rPr>
            </w:pPr>
          </w:p>
          <w:p w14:paraId="12167508">
            <w:pPr>
              <w:pStyle w:val="23"/>
              <w:tabs>
                <w:tab w:val="left" w:pos="0"/>
                <w:tab w:val="left" w:pos="993"/>
                <w:tab w:val="left" w:pos="1134"/>
              </w:tabs>
              <w:rPr>
                <w:rFonts w:hint="eastAsia" w:ascii="宋体" w:hAnsi="宋体" w:eastAsia="宋体" w:cs="宋体"/>
                <w:color w:val="auto"/>
                <w:kern w:val="0"/>
                <w:sz w:val="21"/>
                <w:lang w:val="zh-CN" w:bidi="zh-CN"/>
              </w:rPr>
            </w:pPr>
          </w:p>
          <w:p w14:paraId="3EFEECC6">
            <w:pPr>
              <w:pStyle w:val="22"/>
              <w:ind w:firstLine="210"/>
              <w:rPr>
                <w:rFonts w:hint="eastAsia"/>
                <w:color w:val="auto"/>
                <w:sz w:val="21"/>
              </w:rPr>
            </w:pPr>
          </w:p>
          <w:p w14:paraId="21B5A907">
            <w:pPr>
              <w:pStyle w:val="22"/>
              <w:ind w:firstLine="210"/>
              <w:rPr>
                <w:rFonts w:hint="eastAsia"/>
                <w:color w:val="auto"/>
                <w:sz w:val="21"/>
              </w:rPr>
            </w:pPr>
          </w:p>
          <w:p w14:paraId="374DFA09">
            <w:pPr>
              <w:autoSpaceDE w:val="0"/>
              <w:autoSpaceDN w:val="0"/>
              <w:spacing w:line="360" w:lineRule="auto"/>
              <w:rPr>
                <w:color w:val="auto"/>
              </w:rPr>
            </w:pPr>
            <w:r>
              <w:rPr>
                <w:rFonts w:hint="eastAsia" w:ascii="宋体" w:hAnsi="宋体" w:cs="宋体"/>
                <w:color w:val="auto"/>
                <w:kern w:val="0"/>
                <w:lang w:eastAsia="en-US" w:bidi="zh-CN"/>
              </w:rPr>
              <w:t>技术</w:t>
            </w:r>
            <w:r>
              <w:rPr>
                <w:rFonts w:hint="eastAsia" w:ascii="宋体" w:hAnsi="宋体" w:cs="宋体"/>
                <w:color w:val="auto"/>
                <w:kern w:val="0"/>
                <w:lang w:val="zh-CN" w:eastAsia="en-US" w:bidi="zh-CN"/>
              </w:rPr>
              <w:t>方案（</w:t>
            </w:r>
            <w:r>
              <w:rPr>
                <w:rFonts w:hint="eastAsia" w:ascii="宋体" w:hAnsi="宋体" w:cs="宋体"/>
                <w:color w:val="auto"/>
                <w:kern w:val="0"/>
                <w:lang w:val="en-US" w:eastAsia="en-US" w:bidi="zh-CN"/>
              </w:rPr>
              <w:t>56</w:t>
            </w:r>
            <w:r>
              <w:rPr>
                <w:rFonts w:hint="eastAsia" w:ascii="宋体" w:hAnsi="宋体" w:cs="宋体"/>
                <w:color w:val="auto"/>
                <w:kern w:val="0"/>
                <w:lang w:eastAsia="en-US" w:bidi="zh-CN"/>
              </w:rPr>
              <w:t>分）</w:t>
            </w:r>
          </w:p>
        </w:tc>
        <w:tc>
          <w:tcPr>
            <w:tcW w:w="6924" w:type="dxa"/>
          </w:tcPr>
          <w:p w14:paraId="142697D0">
            <w:pPr>
              <w:pStyle w:val="14"/>
              <w:numPr>
                <w:ilvl w:val="0"/>
                <w:numId w:val="8"/>
              </w:numPr>
              <w:spacing w:line="360" w:lineRule="auto"/>
              <w:rPr>
                <w:rFonts w:hint="eastAsia" w:hAnsi="宋体" w:cs="宋体"/>
                <w:b/>
                <w:bCs/>
                <w:color w:val="auto"/>
              </w:rPr>
            </w:pPr>
            <w:r>
              <w:rPr>
                <w:rFonts w:hint="eastAsia" w:hAnsi="宋体" w:cs="宋体"/>
                <w:b/>
                <w:bCs/>
                <w:color w:val="auto"/>
                <w:lang w:eastAsia="zh-CN"/>
              </w:rPr>
              <w:t>设计依据和设计工作目标</w:t>
            </w:r>
          </w:p>
          <w:p w14:paraId="38D86640">
            <w:pPr>
              <w:pStyle w:val="14"/>
              <w:spacing w:line="360" w:lineRule="auto"/>
              <w:rPr>
                <w:rFonts w:hint="eastAsia" w:hAnsi="宋体" w:cs="宋体"/>
                <w:color w:val="auto"/>
              </w:rPr>
            </w:pPr>
            <w:r>
              <w:rPr>
                <w:rFonts w:hint="eastAsia" w:hAnsi="宋体" w:cs="宋体"/>
                <w:color w:val="auto"/>
              </w:rPr>
              <w:t>根据供应商提供的对本项目现状的调查、项目概况的理解</w:t>
            </w:r>
            <w:r>
              <w:rPr>
                <w:rFonts w:hint="eastAsia" w:hAnsi="宋体" w:cs="宋体"/>
                <w:color w:val="auto"/>
                <w:lang w:eastAsia="zh-CN"/>
              </w:rPr>
              <w:t>，对设计依据和</w:t>
            </w:r>
            <w:r>
              <w:rPr>
                <w:rFonts w:hint="eastAsia" w:hAnsi="宋体" w:cs="宋体"/>
                <w:color w:val="auto"/>
              </w:rPr>
              <w:t>设计的目标进行评审。</w:t>
            </w:r>
            <w:r>
              <w:rPr>
                <w:rFonts w:hint="eastAsia" w:hAnsi="宋体" w:cs="宋体"/>
                <w:b/>
                <w:bCs/>
                <w:color w:val="auto"/>
              </w:rPr>
              <w:t xml:space="preserve"> </w:t>
            </w:r>
          </w:p>
          <w:p w14:paraId="38ECEA97">
            <w:pPr>
              <w:pStyle w:val="14"/>
              <w:spacing w:line="360" w:lineRule="auto"/>
              <w:rPr>
                <w:rFonts w:hint="eastAsia" w:hAnsi="宋体" w:eastAsia="宋体" w:cs="宋体"/>
                <w:b/>
                <w:bCs/>
                <w:color w:val="auto"/>
                <w:lang w:eastAsia="zh-CN"/>
              </w:rPr>
            </w:pPr>
            <w:r>
              <w:rPr>
                <w:rFonts w:hint="eastAsia" w:hAnsi="宋体" w:cs="宋体"/>
                <w:b/>
                <w:bCs/>
                <w:color w:val="auto"/>
              </w:rPr>
              <w:t>2.</w:t>
            </w:r>
            <w:r>
              <w:rPr>
                <w:rFonts w:hint="eastAsia" w:hAnsi="宋体" w:cs="宋体"/>
                <w:b/>
                <w:bCs/>
                <w:color w:val="auto"/>
                <w:lang w:eastAsia="zh-CN"/>
              </w:rPr>
              <w:t>设计方案</w:t>
            </w:r>
          </w:p>
          <w:p w14:paraId="47BEA2E2">
            <w:pPr>
              <w:pStyle w:val="14"/>
              <w:spacing w:line="360" w:lineRule="auto"/>
              <w:rPr>
                <w:rFonts w:hint="eastAsia" w:hAnsi="宋体" w:cs="宋体"/>
                <w:color w:val="auto"/>
              </w:rPr>
            </w:pPr>
            <w:r>
              <w:rPr>
                <w:rFonts w:hint="eastAsia" w:hAnsi="宋体" w:cs="宋体"/>
                <w:color w:val="auto"/>
              </w:rPr>
              <w:t>根据供应商提供的</w:t>
            </w:r>
            <w:r>
              <w:rPr>
                <w:rFonts w:hint="eastAsia" w:hAnsi="宋体" w:cs="宋体"/>
                <w:color w:val="auto"/>
                <w:lang w:eastAsia="zh-CN"/>
              </w:rPr>
              <w:t>设计方案</w:t>
            </w:r>
            <w:r>
              <w:rPr>
                <w:rFonts w:hint="eastAsia" w:hAnsi="宋体" w:cs="宋体"/>
                <w:color w:val="auto"/>
              </w:rPr>
              <w:t>进行评审，包括但不限于</w:t>
            </w:r>
            <w:r>
              <w:rPr>
                <w:rFonts w:hint="eastAsia" w:hAnsi="宋体" w:cs="宋体"/>
                <w:color w:val="auto"/>
                <w:lang w:eastAsia="zh-CN"/>
              </w:rPr>
              <w:t>设计方案的合理性、科学性和完整性</w:t>
            </w:r>
            <w:r>
              <w:rPr>
                <w:rFonts w:hint="eastAsia" w:hAnsi="宋体" w:cs="宋体"/>
                <w:color w:val="auto"/>
              </w:rPr>
              <w:t>等。</w:t>
            </w:r>
          </w:p>
          <w:p w14:paraId="34DFAB53">
            <w:pPr>
              <w:pStyle w:val="14"/>
              <w:spacing w:line="360" w:lineRule="auto"/>
              <w:rPr>
                <w:rFonts w:hint="eastAsia" w:hAnsi="宋体" w:cs="宋体"/>
                <w:b/>
                <w:bCs/>
                <w:color w:val="auto"/>
              </w:rPr>
            </w:pPr>
            <w:r>
              <w:rPr>
                <w:rFonts w:hint="eastAsia" w:hAnsi="宋体" w:cs="宋体"/>
                <w:b/>
                <w:bCs/>
                <w:color w:val="auto"/>
                <w:lang w:val="en-US" w:eastAsia="zh-CN"/>
              </w:rPr>
              <w:t>3</w:t>
            </w:r>
            <w:r>
              <w:rPr>
                <w:rFonts w:hint="eastAsia" w:hAnsi="宋体" w:cs="宋体"/>
                <w:b/>
                <w:bCs/>
                <w:color w:val="auto"/>
              </w:rPr>
              <w:t>.设计进度保证措施</w:t>
            </w:r>
          </w:p>
          <w:p w14:paraId="1882D22F">
            <w:pPr>
              <w:pStyle w:val="14"/>
              <w:spacing w:line="360" w:lineRule="auto"/>
              <w:rPr>
                <w:rFonts w:hint="eastAsia" w:hAnsi="宋体" w:cs="宋体"/>
                <w:color w:val="auto"/>
              </w:rPr>
            </w:pPr>
            <w:r>
              <w:rPr>
                <w:rFonts w:hint="eastAsia" w:hAnsi="宋体" w:cs="宋体"/>
                <w:color w:val="auto"/>
              </w:rPr>
              <w:t>根据供应商提供的设计进度保证措施进行评审，包括依据各阶段的时间节点制定符合采购需求的进度保证措施等。</w:t>
            </w:r>
          </w:p>
          <w:p w14:paraId="59BFAF3F">
            <w:pPr>
              <w:pStyle w:val="14"/>
              <w:spacing w:line="360" w:lineRule="auto"/>
              <w:rPr>
                <w:rFonts w:hint="eastAsia" w:hAnsi="宋体" w:cs="宋体"/>
                <w:b/>
                <w:bCs/>
                <w:color w:val="auto"/>
              </w:rPr>
            </w:pPr>
            <w:r>
              <w:rPr>
                <w:rFonts w:hint="eastAsia" w:hAnsi="宋体" w:cs="宋体"/>
                <w:b/>
                <w:bCs/>
                <w:color w:val="auto"/>
                <w:lang w:val="en-US" w:eastAsia="zh-CN"/>
              </w:rPr>
              <w:t>4</w:t>
            </w:r>
            <w:r>
              <w:rPr>
                <w:rFonts w:hint="eastAsia" w:hAnsi="宋体" w:cs="宋体"/>
                <w:b/>
                <w:bCs/>
                <w:color w:val="auto"/>
              </w:rPr>
              <w:t xml:space="preserve">.质量保证措施 </w:t>
            </w:r>
          </w:p>
          <w:p w14:paraId="0FAED4A6">
            <w:pPr>
              <w:pStyle w:val="14"/>
              <w:spacing w:line="360" w:lineRule="auto"/>
              <w:rPr>
                <w:rFonts w:hint="eastAsia" w:hAnsi="宋体" w:cs="宋体"/>
                <w:color w:val="auto"/>
              </w:rPr>
            </w:pPr>
            <w:r>
              <w:rPr>
                <w:rFonts w:hint="eastAsia" w:hAnsi="宋体" w:cs="宋体"/>
                <w:color w:val="auto"/>
              </w:rPr>
              <w:t>根据供应商提供的质量保证措施进行评审，包括根据采购需求质量成果要求制定质量保证措施等。</w:t>
            </w:r>
          </w:p>
          <w:p w14:paraId="2B432DE7">
            <w:pPr>
              <w:pStyle w:val="14"/>
              <w:spacing w:line="360" w:lineRule="auto"/>
              <w:rPr>
                <w:rFonts w:hint="eastAsia" w:hAnsi="宋体" w:cs="宋体"/>
                <w:b/>
                <w:bCs/>
                <w:color w:val="auto"/>
              </w:rPr>
            </w:pPr>
            <w:r>
              <w:rPr>
                <w:rFonts w:hint="eastAsia" w:hAnsi="宋体" w:cs="宋体"/>
                <w:b/>
                <w:bCs/>
                <w:color w:val="auto"/>
                <w:lang w:val="en-US" w:eastAsia="zh-CN"/>
              </w:rPr>
              <w:t>5</w:t>
            </w:r>
            <w:r>
              <w:rPr>
                <w:rFonts w:hint="eastAsia" w:hAnsi="宋体" w:cs="宋体"/>
                <w:b/>
                <w:bCs/>
                <w:color w:val="auto"/>
              </w:rPr>
              <w:t xml:space="preserve">.现场服务计划和承诺 </w:t>
            </w:r>
          </w:p>
          <w:p w14:paraId="09534DF5">
            <w:pPr>
              <w:pStyle w:val="14"/>
              <w:spacing w:line="360" w:lineRule="auto"/>
              <w:rPr>
                <w:rFonts w:hint="eastAsia" w:hAnsi="宋体" w:cs="宋体"/>
                <w:color w:val="auto"/>
              </w:rPr>
            </w:pPr>
            <w:r>
              <w:rPr>
                <w:rFonts w:hint="eastAsia" w:hAnsi="宋体" w:cs="宋体"/>
                <w:color w:val="auto"/>
              </w:rPr>
              <w:t>根据供应商提供的现场服务计划和承诺进行评审。包括不限于配合工程建设现场的有关检查、审查、图纸变更、验收工作、事故调查处理等。</w:t>
            </w:r>
          </w:p>
          <w:p w14:paraId="7D6C0CB7">
            <w:pPr>
              <w:pStyle w:val="14"/>
              <w:spacing w:line="360" w:lineRule="auto"/>
              <w:rPr>
                <w:rFonts w:hint="eastAsia" w:hAnsi="宋体" w:cs="宋体"/>
                <w:b/>
                <w:bCs/>
                <w:color w:val="auto"/>
              </w:rPr>
            </w:pPr>
            <w:r>
              <w:rPr>
                <w:rFonts w:hint="eastAsia" w:hAnsi="宋体" w:cs="宋体"/>
                <w:b/>
                <w:bCs/>
                <w:color w:val="auto"/>
                <w:lang w:val="en-US" w:eastAsia="zh-CN"/>
              </w:rPr>
              <w:t>6</w:t>
            </w:r>
            <w:r>
              <w:rPr>
                <w:rFonts w:hint="eastAsia" w:hAnsi="宋体" w:cs="宋体"/>
                <w:b/>
                <w:bCs/>
                <w:color w:val="auto"/>
              </w:rPr>
              <w:t>.安全、保密措施</w:t>
            </w:r>
          </w:p>
          <w:p w14:paraId="101AB120">
            <w:pPr>
              <w:pStyle w:val="14"/>
              <w:spacing w:line="360" w:lineRule="auto"/>
              <w:rPr>
                <w:rFonts w:hint="eastAsia" w:hAnsi="宋体" w:cs="宋体"/>
                <w:color w:val="auto"/>
              </w:rPr>
            </w:pPr>
            <w:r>
              <w:rPr>
                <w:rFonts w:hint="eastAsia" w:hAnsi="宋体" w:cs="宋体"/>
                <w:color w:val="auto"/>
              </w:rPr>
              <w:t>根据供应商提供的安全、保密措施进行评分，包括信息安全的管控、对完成项目的信息及资料的保存、制定安全及保密控制方案。通过相应的流程、制度、设备、软件加强对档案的控制，保证文件原件及档案信息的安全及保密。</w:t>
            </w:r>
          </w:p>
          <w:p w14:paraId="36EE64B4">
            <w:pPr>
              <w:pStyle w:val="14"/>
              <w:spacing w:line="360" w:lineRule="auto"/>
              <w:rPr>
                <w:rFonts w:hint="eastAsia" w:hAnsi="宋体" w:cs="宋体"/>
                <w:b/>
                <w:bCs/>
                <w:color w:val="auto"/>
              </w:rPr>
            </w:pPr>
            <w:r>
              <w:rPr>
                <w:rFonts w:hint="eastAsia" w:hAnsi="宋体" w:cs="宋体"/>
                <w:b/>
                <w:bCs/>
                <w:color w:val="auto"/>
                <w:lang w:val="en-US" w:eastAsia="zh-CN"/>
              </w:rPr>
              <w:t>7</w:t>
            </w:r>
            <w:r>
              <w:rPr>
                <w:rFonts w:hint="eastAsia" w:hAnsi="宋体" w:cs="宋体"/>
                <w:b/>
                <w:bCs/>
                <w:color w:val="auto"/>
              </w:rPr>
              <w:t xml:space="preserve">.重点难点分析 </w:t>
            </w:r>
          </w:p>
          <w:p w14:paraId="2F59370F">
            <w:pPr>
              <w:pStyle w:val="14"/>
              <w:spacing w:line="360" w:lineRule="auto"/>
              <w:rPr>
                <w:rFonts w:hint="eastAsia" w:hAnsi="宋体" w:cs="宋体"/>
                <w:color w:val="auto"/>
              </w:rPr>
            </w:pPr>
            <w:r>
              <w:rPr>
                <w:rFonts w:hint="eastAsia" w:hAnsi="宋体" w:cs="宋体"/>
                <w:color w:val="auto"/>
              </w:rPr>
              <w:t>根据供应商针对本项目的要求和特点提供的重点难点分析进行评审，包括但不限于项目的重点及难点介绍，以及解决重点和难点问题的方法。</w:t>
            </w:r>
          </w:p>
          <w:p w14:paraId="7CA79C42">
            <w:pPr>
              <w:pStyle w:val="14"/>
              <w:spacing w:line="360" w:lineRule="auto"/>
              <w:rPr>
                <w:rFonts w:hint="eastAsia" w:hAnsi="宋体" w:eastAsia="宋体" w:cs="宋体"/>
                <w:b/>
                <w:bCs/>
                <w:color w:val="auto"/>
                <w:lang w:eastAsia="zh-CN"/>
              </w:rPr>
            </w:pPr>
            <w:r>
              <w:rPr>
                <w:rFonts w:hint="eastAsia" w:hAnsi="宋体" w:cs="宋体"/>
                <w:b/>
                <w:bCs/>
                <w:color w:val="auto"/>
              </w:rPr>
              <w:t>8.</w:t>
            </w:r>
            <w:r>
              <w:rPr>
                <w:rFonts w:hint="eastAsia" w:hAnsi="宋体" w:cs="宋体"/>
                <w:b/>
                <w:bCs/>
                <w:color w:val="auto"/>
                <w:lang w:eastAsia="zh-CN"/>
              </w:rPr>
              <w:t>合理化建议</w:t>
            </w:r>
          </w:p>
          <w:p w14:paraId="1C17611B">
            <w:pPr>
              <w:pStyle w:val="14"/>
              <w:spacing w:line="360" w:lineRule="auto"/>
              <w:rPr>
                <w:rFonts w:hint="eastAsia" w:hAnsi="宋体" w:cs="宋体"/>
                <w:color w:val="auto"/>
              </w:rPr>
            </w:pPr>
            <w:r>
              <w:rPr>
                <w:rFonts w:hint="eastAsia" w:hAnsi="宋体" w:cs="宋体"/>
                <w:color w:val="auto"/>
              </w:rPr>
              <w:t>根据供应商针对本项目的</w:t>
            </w:r>
            <w:r>
              <w:rPr>
                <w:rFonts w:hint="eastAsia" w:hAnsi="宋体" w:cs="宋体"/>
                <w:color w:val="auto"/>
                <w:lang w:eastAsia="zh-CN"/>
              </w:rPr>
              <w:t>合理化建议</w:t>
            </w:r>
            <w:r>
              <w:rPr>
                <w:rFonts w:hint="eastAsia" w:hAnsi="宋体" w:cs="宋体"/>
                <w:color w:val="auto"/>
              </w:rPr>
              <w:t>进行评审。</w:t>
            </w:r>
          </w:p>
          <w:p w14:paraId="0C18BA7C">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以上8个小项，每项各7分，总计56分。</w:t>
            </w:r>
          </w:p>
          <w:p w14:paraId="2EF99B3B">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磋商小组根据供应商提供的以上内容对每项进行评分：</w:t>
            </w:r>
          </w:p>
          <w:p w14:paraId="6AC36854">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1）方案完全覆盖采购需求要求并对项目内容进行补充，各项内容制定具体的实施方案，且方案条理清晰，利于项目实施，得7分；</w:t>
            </w:r>
          </w:p>
          <w:p w14:paraId="2F1ABC11">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2）方案完全覆盖采购需求要求并对内容进行补充，虽制定各项实施方案，但方案条理不清，得5分；</w:t>
            </w:r>
          </w:p>
          <w:p w14:paraId="40B092C1">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3）方案完全覆盖采购需求要求，无补充项，但方案条理不清，得3分；</w:t>
            </w:r>
          </w:p>
          <w:p w14:paraId="7ACF1103">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4）方案未完全覆盖采购需求要求，有缺项漏项的，且所提供方案条理不清，不适用本项目，得2分；</w:t>
            </w:r>
          </w:p>
          <w:p w14:paraId="6ED3E51B">
            <w:pPr>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5）优化建议完全生搬硬套、冒用其他项目的，不适用本项目的，得 1 分；</w:t>
            </w:r>
          </w:p>
          <w:p w14:paraId="1B55FC95">
            <w:pPr>
              <w:pStyle w:val="14"/>
              <w:spacing w:line="360" w:lineRule="auto"/>
              <w:rPr>
                <w:color w:val="auto"/>
                <w:szCs w:val="21"/>
              </w:rPr>
            </w:pPr>
            <w:r>
              <w:rPr>
                <w:rFonts w:hint="eastAsia" w:ascii="宋体" w:hAnsi="宋体" w:eastAsia="宋体" w:cs="宋体"/>
                <w:color w:val="auto"/>
                <w:kern w:val="2"/>
                <w:sz w:val="21"/>
                <w:szCs w:val="22"/>
                <w:lang w:val="en-US" w:eastAsia="zh-CN" w:bidi="ar-SA"/>
              </w:rPr>
              <w:t>6）未提供的不得分。</w:t>
            </w:r>
          </w:p>
        </w:tc>
      </w:tr>
      <w:tr w14:paraId="1537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1090" w:type="dxa"/>
            <w:vMerge w:val="continue"/>
            <w:vAlign w:val="center"/>
          </w:tcPr>
          <w:p w14:paraId="176CAC84">
            <w:pPr>
              <w:spacing w:before="181" w:line="377" w:lineRule="auto"/>
              <w:ind w:left="113" w:right="105"/>
              <w:rPr>
                <w:color w:val="auto"/>
              </w:rPr>
            </w:pPr>
          </w:p>
        </w:tc>
        <w:tc>
          <w:tcPr>
            <w:tcW w:w="1278" w:type="dxa"/>
            <w:vAlign w:val="center"/>
          </w:tcPr>
          <w:p w14:paraId="1A38AFCC">
            <w:pPr>
              <w:widowControl/>
              <w:jc w:val="left"/>
              <w:rPr>
                <w:color w:val="0000FF"/>
              </w:rPr>
            </w:pPr>
            <w:r>
              <w:rPr>
                <w:rFonts w:hint="eastAsia" w:ascii="宋体" w:hAnsi="宋体" w:cs="宋体"/>
                <w:color w:val="auto"/>
                <w:kern w:val="0"/>
                <w:lang w:bidi="ar"/>
              </w:rPr>
              <w:t>企业业绩</w:t>
            </w:r>
            <w:r>
              <w:rPr>
                <w:rFonts w:hint="eastAsia" w:ascii="宋体" w:hAnsi="宋体" w:eastAsia="宋体" w:cs="宋体"/>
                <w:color w:val="auto"/>
                <w:kern w:val="2"/>
                <w:sz w:val="21"/>
                <w:szCs w:val="22"/>
                <w:lang w:val="en-US" w:eastAsia="zh-CN" w:bidi="ar-SA"/>
              </w:rPr>
              <w:t>（0-10分）</w:t>
            </w:r>
          </w:p>
          <w:p w14:paraId="0804AE26">
            <w:pPr>
              <w:spacing w:before="181" w:line="377" w:lineRule="auto"/>
              <w:ind w:left="113" w:right="105"/>
              <w:rPr>
                <w:color w:val="auto"/>
              </w:rPr>
            </w:pPr>
          </w:p>
        </w:tc>
        <w:tc>
          <w:tcPr>
            <w:tcW w:w="6924" w:type="dxa"/>
            <w:vAlign w:val="center"/>
          </w:tcPr>
          <w:p w14:paraId="2E22C07F">
            <w:pPr>
              <w:pStyle w:val="14"/>
              <w:spacing w:line="360" w:lineRule="auto"/>
              <w:rPr>
                <w:rFonts w:hint="eastAsia" w:ascii="宋体" w:hAnsi="宋体" w:eastAsia="宋体" w:cs="宋体"/>
                <w:color w:val="auto"/>
                <w:kern w:val="2"/>
                <w:sz w:val="21"/>
                <w:szCs w:val="22"/>
                <w:lang w:val="en-US" w:eastAsia="zh-CN" w:bidi="ar-SA"/>
              </w:rPr>
            </w:pPr>
            <w:r>
              <w:rPr>
                <w:rFonts w:hint="eastAsia" w:ascii="宋体" w:hAnsi="宋体" w:eastAsia="宋体" w:cs="宋体"/>
                <w:color w:val="auto"/>
                <w:kern w:val="2"/>
                <w:sz w:val="21"/>
                <w:szCs w:val="22"/>
                <w:lang w:val="en-US" w:eastAsia="zh-CN" w:bidi="ar-SA"/>
              </w:rPr>
              <w:t>2022年1月1日（以合同签订时间为准）至今，供应商具有类似改造项目业绩（含正在履约的业绩）的，每提供一项得5分，本项最高得10分。</w:t>
            </w:r>
          </w:p>
          <w:p w14:paraId="0385D30F">
            <w:pPr>
              <w:pStyle w:val="14"/>
              <w:spacing w:line="360" w:lineRule="auto"/>
              <w:rPr>
                <w:color w:val="auto"/>
                <w:szCs w:val="21"/>
              </w:rPr>
            </w:pPr>
            <w:r>
              <w:rPr>
                <w:b/>
                <w:bCs/>
                <w:color w:val="auto"/>
                <w:szCs w:val="21"/>
              </w:rPr>
              <w:t>注：响应文件中须提供业绩合同扫描件或复印件，如合同中无法体现签订合同时间、项目内容等关键内容，须另附业主单位（或合同甲方）加盖公章的证明材料的扫描件，否则不予认可。</w:t>
            </w:r>
          </w:p>
        </w:tc>
      </w:tr>
      <w:tr w14:paraId="57C0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1090" w:type="dxa"/>
            <w:vMerge w:val="continue"/>
            <w:vAlign w:val="center"/>
          </w:tcPr>
          <w:p w14:paraId="55D28CAE">
            <w:pPr>
              <w:spacing w:before="181" w:line="377" w:lineRule="auto"/>
              <w:ind w:left="113" w:right="105"/>
              <w:rPr>
                <w:color w:val="auto"/>
              </w:rPr>
            </w:pPr>
          </w:p>
        </w:tc>
        <w:tc>
          <w:tcPr>
            <w:tcW w:w="1278" w:type="dxa"/>
          </w:tcPr>
          <w:p w14:paraId="18CB87FF">
            <w:pPr>
              <w:autoSpaceDE w:val="0"/>
              <w:autoSpaceDN w:val="0"/>
              <w:spacing w:line="360" w:lineRule="auto"/>
              <w:rPr>
                <w:color w:val="auto"/>
              </w:rPr>
            </w:pPr>
            <w:r>
              <w:rPr>
                <w:rFonts w:hint="eastAsia" w:ascii="宋体" w:hAnsi="宋体" w:cs="宋体"/>
                <w:color w:val="auto"/>
              </w:rPr>
              <w:t>人员配备</w:t>
            </w:r>
            <w:r>
              <w:rPr>
                <w:rFonts w:hint="eastAsia" w:ascii="宋体" w:hAnsi="宋体" w:cs="宋体"/>
                <w:color w:val="000000" w:themeColor="text1"/>
                <w14:textFill>
                  <w14:solidFill>
                    <w14:schemeClr w14:val="tx1"/>
                  </w14:solidFill>
                </w14:textFill>
              </w:rPr>
              <w:t>（</w:t>
            </w:r>
            <w:r>
              <w:rPr>
                <w:rFonts w:hint="eastAsia" w:ascii="宋体" w:hAnsi="宋体" w:cs="宋体"/>
                <w:color w:val="000000" w:themeColor="text1"/>
                <w:lang w:val="en-US" w:eastAsia="zh-CN"/>
                <w14:textFill>
                  <w14:solidFill>
                    <w14:schemeClr w14:val="tx1"/>
                  </w14:solidFill>
                </w14:textFill>
              </w:rPr>
              <w:t>0-</w:t>
            </w: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lang w:val="en-US" w:eastAsia="zh-CN"/>
                <w14:textFill>
                  <w14:solidFill>
                    <w14:schemeClr w14:val="tx1"/>
                  </w14:solidFill>
                </w14:textFill>
              </w:rPr>
              <w:t>5</w:t>
            </w:r>
            <w:r>
              <w:rPr>
                <w:rFonts w:hint="eastAsia" w:ascii="宋体" w:hAnsi="宋体" w:cs="宋体"/>
                <w:color w:val="000000" w:themeColor="text1"/>
                <w14:textFill>
                  <w14:solidFill>
                    <w14:schemeClr w14:val="tx1"/>
                  </w14:solidFill>
                </w14:textFill>
              </w:rPr>
              <w:t>分）</w:t>
            </w:r>
          </w:p>
        </w:tc>
        <w:tc>
          <w:tcPr>
            <w:tcW w:w="6924" w:type="dxa"/>
          </w:tcPr>
          <w:p w14:paraId="1225669A">
            <w:pPr>
              <w:widowControl/>
              <w:spacing w:line="360" w:lineRule="auto"/>
              <w:jc w:val="left"/>
              <w:rPr>
                <w:rFonts w:ascii="宋体" w:hAnsi="Courier New"/>
                <w:color w:val="auto"/>
              </w:rPr>
            </w:pPr>
            <w:r>
              <w:rPr>
                <w:rFonts w:hint="eastAsia" w:ascii="宋体" w:hAnsi="Courier New"/>
                <w:color w:val="auto"/>
              </w:rPr>
              <w:t xml:space="preserve">项目团队成员（除项目负责人外）： </w:t>
            </w:r>
          </w:p>
          <w:p w14:paraId="6C0758D5">
            <w:pPr>
              <w:widowControl/>
              <w:spacing w:line="360" w:lineRule="auto"/>
              <w:jc w:val="left"/>
              <w:rPr>
                <w:rFonts w:ascii="宋体" w:hAnsi="Courier New"/>
                <w:color w:val="auto"/>
              </w:rPr>
            </w:pPr>
            <w:r>
              <w:rPr>
                <w:rFonts w:hint="eastAsia" w:ascii="宋体" w:hAnsi="Courier New"/>
                <w:color w:val="auto"/>
              </w:rPr>
              <w:t>拟配备的项目团队成员</w:t>
            </w:r>
            <w:r>
              <w:rPr>
                <w:rFonts w:hint="eastAsia" w:ascii="宋体" w:hAnsi="Courier New"/>
                <w:color w:val="auto"/>
                <w:lang w:val="en-US" w:eastAsia="zh-CN"/>
              </w:rPr>
              <w:t>具备</w:t>
            </w:r>
            <w:r>
              <w:rPr>
                <w:rFonts w:hint="eastAsia" w:ascii="宋体" w:hAnsi="Courier New"/>
                <w:color w:val="auto"/>
              </w:rPr>
              <w:t>包括建筑、结构、电气、</w:t>
            </w:r>
            <w:r>
              <w:rPr>
                <w:rFonts w:hint="eastAsia" w:ascii="宋体" w:hAnsi="Courier New"/>
                <w:color w:val="auto"/>
                <w:lang w:eastAsia="zh-CN"/>
              </w:rPr>
              <w:t>给排水</w:t>
            </w:r>
            <w:r>
              <w:rPr>
                <w:rFonts w:hint="eastAsia" w:ascii="宋体" w:hAnsi="Courier New"/>
                <w:color w:val="auto"/>
              </w:rPr>
              <w:t>、</w:t>
            </w:r>
            <w:r>
              <w:rPr>
                <w:rFonts w:hint="eastAsia" w:ascii="宋体" w:hAnsi="Courier New"/>
                <w:color w:val="auto"/>
                <w:lang w:eastAsia="zh-CN"/>
              </w:rPr>
              <w:t>暖通类</w:t>
            </w:r>
            <w:r>
              <w:rPr>
                <w:rFonts w:hint="eastAsia" w:ascii="宋体" w:hAnsi="Courier New"/>
                <w:color w:val="auto"/>
              </w:rPr>
              <w:t>专业</w:t>
            </w:r>
            <w:r>
              <w:rPr>
                <w:rFonts w:hint="eastAsia" w:ascii="宋体" w:hAnsi="Courier New"/>
                <w:color w:val="auto"/>
                <w:lang w:val="en-US" w:eastAsia="zh-CN"/>
              </w:rPr>
              <w:t>相关证书</w:t>
            </w:r>
            <w:r>
              <w:rPr>
                <w:rFonts w:hint="eastAsia" w:ascii="宋体" w:hAnsi="Courier New"/>
                <w:color w:val="auto"/>
              </w:rPr>
              <w:t>，每配备一个专业得3 分，满分</w:t>
            </w:r>
            <w:r>
              <w:rPr>
                <w:rFonts w:hint="eastAsia" w:ascii="宋体" w:hAnsi="Courier New"/>
                <w:color w:val="auto"/>
                <w:lang w:val="en-US" w:eastAsia="zh-CN"/>
              </w:rPr>
              <w:t>15</w:t>
            </w:r>
            <w:r>
              <w:rPr>
                <w:rFonts w:hint="eastAsia" w:ascii="宋体" w:hAnsi="Courier New"/>
                <w:color w:val="auto"/>
              </w:rPr>
              <w:t>分；</w:t>
            </w:r>
          </w:p>
          <w:p w14:paraId="6B2417FA">
            <w:pPr>
              <w:widowControl/>
              <w:spacing w:line="360" w:lineRule="auto"/>
              <w:jc w:val="left"/>
              <w:rPr>
                <w:rFonts w:hint="eastAsia" w:ascii="宋体" w:hAnsi="Courier New"/>
                <w:color w:val="auto"/>
                <w:lang w:val="en-US" w:eastAsia="zh-CN"/>
              </w:rPr>
            </w:pPr>
            <w:r>
              <w:rPr>
                <w:rFonts w:hint="eastAsia" w:ascii="宋体" w:hAnsi="Courier New"/>
                <w:color w:val="auto"/>
                <w:lang w:val="en-US" w:eastAsia="zh-CN"/>
              </w:rPr>
              <w:t>注：①以上人员须提供身份证、职称证书扫描件或影印件并加盖响应人公章。</w:t>
            </w:r>
          </w:p>
          <w:p w14:paraId="39A0E6AE">
            <w:pPr>
              <w:widowControl/>
              <w:spacing w:line="360" w:lineRule="auto"/>
              <w:jc w:val="left"/>
              <w:rPr>
                <w:rFonts w:hint="eastAsia" w:ascii="宋体" w:hAnsi="Courier New"/>
                <w:color w:val="auto"/>
                <w:lang w:val="en-US" w:eastAsia="zh-CN"/>
              </w:rPr>
            </w:pPr>
            <w:r>
              <w:rPr>
                <w:rFonts w:hint="eastAsia" w:ascii="宋体" w:hAnsi="Courier New"/>
                <w:color w:val="auto"/>
                <w:lang w:val="en-US" w:eastAsia="zh-CN"/>
              </w:rPr>
              <w:t>②须提供响应人所属社保机构出具的上述人员响应截止日前3个月中任意1个月的社保缴费证明（或其他能够证明上述人员参加社保的有效证明）材料，社保缴纳单位应当是供应商或者供应商不具备独立法人资格的分支机构，社保证明材料中至少能够体现养老保险。</w:t>
            </w:r>
          </w:p>
          <w:p w14:paraId="26F11EB6">
            <w:pPr>
              <w:keepNext w:val="0"/>
              <w:keepLines w:val="0"/>
              <w:suppressLineNumbers w:val="0"/>
              <w:spacing w:before="0" w:beforeAutospacing="0" w:after="0" w:afterAutospacing="0" w:line="360" w:lineRule="auto"/>
              <w:ind w:left="0" w:right="0"/>
              <w:rPr>
                <w:rFonts w:hint="eastAsia" w:hAnsi="宋体" w:cs="宋体"/>
                <w:b/>
                <w:bCs/>
                <w:color w:val="auto"/>
                <w:kern w:val="0"/>
                <w:sz w:val="20"/>
                <w:szCs w:val="20"/>
              </w:rPr>
            </w:pPr>
            <w:r>
              <w:rPr>
                <w:rFonts w:hint="eastAsia" w:ascii="宋体" w:hAnsi="Courier New"/>
                <w:color w:val="auto"/>
                <w:lang w:val="en-US" w:eastAsia="zh-CN"/>
              </w:rPr>
              <w:t>③建筑工程相关专业职称包括建筑、结构、给排水、暖通、电气等专业职称。如职称证书未体现专业，则须提供毕业证书或工程建设类注册资格证书证明。</w:t>
            </w:r>
          </w:p>
        </w:tc>
      </w:tr>
      <w:tr w14:paraId="5A57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1090" w:type="dxa"/>
            <w:vMerge w:val="continue"/>
            <w:vAlign w:val="center"/>
          </w:tcPr>
          <w:p w14:paraId="1F83B709">
            <w:pPr>
              <w:spacing w:before="181" w:line="377" w:lineRule="auto"/>
              <w:ind w:left="113" w:right="105"/>
              <w:rPr>
                <w:color w:val="auto"/>
              </w:rPr>
            </w:pPr>
          </w:p>
        </w:tc>
        <w:tc>
          <w:tcPr>
            <w:tcW w:w="1278" w:type="dxa"/>
            <w:vAlign w:val="center"/>
          </w:tcPr>
          <w:p w14:paraId="51336724">
            <w:pPr>
              <w:autoSpaceDE w:val="0"/>
              <w:autoSpaceDN w:val="0"/>
              <w:spacing w:line="360" w:lineRule="auto"/>
              <w:rPr>
                <w:color w:val="auto"/>
              </w:rPr>
            </w:pPr>
            <w:r>
              <w:rPr>
                <w:rFonts w:hint="eastAsia" w:ascii="宋体" w:hAnsi="宋体" w:cs="宋体"/>
                <w:color w:val="auto"/>
              </w:rPr>
              <w:t>供应商综合实力（</w:t>
            </w:r>
            <w:r>
              <w:rPr>
                <w:rFonts w:hint="eastAsia" w:ascii="宋体" w:hAnsi="宋体" w:cs="宋体"/>
                <w:color w:val="auto"/>
                <w:lang w:val="en-US" w:eastAsia="zh-CN"/>
              </w:rPr>
              <w:t>0-9</w:t>
            </w:r>
            <w:r>
              <w:rPr>
                <w:rFonts w:hint="eastAsia" w:ascii="宋体" w:hAnsi="宋体" w:cs="宋体"/>
                <w:color w:val="auto"/>
              </w:rPr>
              <w:t>分）</w:t>
            </w:r>
          </w:p>
        </w:tc>
        <w:tc>
          <w:tcPr>
            <w:tcW w:w="6924" w:type="dxa"/>
            <w:vAlign w:val="center"/>
          </w:tcPr>
          <w:p w14:paraId="190885BB">
            <w:pPr>
              <w:spacing w:line="360" w:lineRule="auto"/>
              <w:rPr>
                <w:rFonts w:hint="eastAsia" w:ascii="宋体" w:hAnsi="宋体" w:cs="宋体"/>
                <w:color w:val="auto"/>
                <w:szCs w:val="22"/>
              </w:rPr>
            </w:pPr>
            <w:r>
              <w:rPr>
                <w:rFonts w:hint="eastAsia" w:ascii="宋体" w:hAnsi="宋体" w:cs="宋体"/>
                <w:color w:val="auto"/>
                <w:szCs w:val="22"/>
              </w:rPr>
              <w:t xml:space="preserve">供应商具有环境管理体系认证证书、职业健康安全管理体系认证证书、质量管理体系认证证书的，每提供一项得 </w:t>
            </w:r>
            <w:r>
              <w:rPr>
                <w:rFonts w:hint="eastAsia" w:ascii="宋体" w:hAnsi="宋体" w:cs="宋体"/>
                <w:color w:val="auto"/>
                <w:szCs w:val="22"/>
                <w:lang w:val="en-US" w:eastAsia="zh-CN"/>
              </w:rPr>
              <w:t>3</w:t>
            </w:r>
            <w:r>
              <w:rPr>
                <w:rFonts w:hint="eastAsia" w:ascii="宋体" w:hAnsi="宋体" w:cs="宋体"/>
                <w:color w:val="auto"/>
                <w:szCs w:val="22"/>
              </w:rPr>
              <w:t xml:space="preserve"> 分，满分</w:t>
            </w:r>
            <w:r>
              <w:rPr>
                <w:rFonts w:hint="eastAsia" w:ascii="宋体" w:hAnsi="宋体" w:cs="宋体"/>
                <w:color w:val="auto"/>
                <w:szCs w:val="22"/>
                <w:lang w:val="en-US" w:eastAsia="zh-CN"/>
              </w:rPr>
              <w:t>9</w:t>
            </w:r>
            <w:r>
              <w:rPr>
                <w:rFonts w:hint="eastAsia" w:ascii="宋体" w:hAnsi="宋体" w:cs="宋体"/>
                <w:color w:val="auto"/>
                <w:szCs w:val="22"/>
              </w:rPr>
              <w:t xml:space="preserve"> 分。 </w:t>
            </w:r>
          </w:p>
          <w:p w14:paraId="1FC3AFC7">
            <w:pPr>
              <w:spacing w:line="360" w:lineRule="auto"/>
              <w:rPr>
                <w:rFonts w:hint="eastAsia" w:ascii="宋体" w:hAnsi="宋体" w:cs="宋体"/>
                <w:color w:val="auto"/>
                <w:szCs w:val="22"/>
              </w:rPr>
            </w:pPr>
            <w:r>
              <w:rPr>
                <w:rFonts w:hint="eastAsia" w:ascii="宋体" w:hAnsi="宋体" w:cs="宋体"/>
                <w:b/>
                <w:bCs/>
                <w:color w:val="auto"/>
                <w:szCs w:val="22"/>
              </w:rPr>
              <w:t>注：须提供证书扫描件和国家认证认可监督管理委员会网站查询截图。</w:t>
            </w:r>
          </w:p>
          <w:p w14:paraId="33BF1B71">
            <w:pPr>
              <w:spacing w:line="360" w:lineRule="auto"/>
              <w:rPr>
                <w:rFonts w:hint="eastAsia" w:hAnsi="宋体" w:cs="宋体"/>
                <w:b/>
                <w:bCs/>
                <w:color w:val="auto"/>
                <w:kern w:val="0"/>
              </w:rPr>
            </w:pPr>
          </w:p>
        </w:tc>
      </w:tr>
      <w:tr w14:paraId="0596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090" w:type="dxa"/>
            <w:vAlign w:val="center"/>
          </w:tcPr>
          <w:p w14:paraId="33ACFC8C">
            <w:pPr>
              <w:rPr>
                <w:color w:val="auto"/>
              </w:rPr>
            </w:pPr>
            <w:r>
              <w:rPr>
                <w:rFonts w:hint="eastAsia"/>
                <w:color w:val="auto"/>
              </w:rPr>
              <w:t>价格分</w:t>
            </w:r>
            <w:r>
              <w:rPr>
                <w:rFonts w:hint="eastAsia"/>
                <w:color w:val="auto"/>
                <w:lang w:eastAsia="en-US"/>
              </w:rPr>
              <w:t>（</w:t>
            </w:r>
            <w:r>
              <w:rPr>
                <w:rFonts w:hint="eastAsia"/>
                <w:color w:val="auto"/>
              </w:rPr>
              <w:t>10分</w:t>
            </w:r>
            <w:r>
              <w:rPr>
                <w:rFonts w:hint="eastAsia"/>
                <w:color w:val="auto"/>
                <w:lang w:eastAsia="en-US"/>
              </w:rPr>
              <w:t>）</w:t>
            </w:r>
          </w:p>
        </w:tc>
        <w:tc>
          <w:tcPr>
            <w:tcW w:w="8202" w:type="dxa"/>
            <w:gridSpan w:val="2"/>
            <w:vAlign w:val="center"/>
          </w:tcPr>
          <w:p w14:paraId="1765B948">
            <w:pPr>
              <w:spacing w:line="360" w:lineRule="auto"/>
              <w:rPr>
                <w:rFonts w:hint="eastAsia" w:ascii="宋体" w:hAnsi="宋体" w:cs="宋体"/>
                <w:color w:val="auto"/>
                <w:szCs w:val="22"/>
              </w:rPr>
            </w:pPr>
            <w:r>
              <w:rPr>
                <w:rFonts w:hint="eastAsia" w:ascii="宋体" w:hAnsi="宋体" w:cs="宋体"/>
                <w:color w:val="auto"/>
                <w:szCs w:val="22"/>
              </w:rPr>
              <w:t>价格分统一采用低价优先法，即满足磋商文件要求且价格最低的最后报价为评标基准价，其价格分为满分10分。其他供应商的价格分统一按照下列公式计算：</w:t>
            </w:r>
          </w:p>
          <w:p w14:paraId="62AC29DF">
            <w:pPr>
              <w:spacing w:line="360" w:lineRule="auto"/>
              <w:rPr>
                <w:color w:val="auto"/>
              </w:rPr>
            </w:pPr>
            <w:r>
              <w:rPr>
                <w:rFonts w:hint="eastAsia" w:ascii="宋体" w:hAnsi="宋体" w:cs="宋体"/>
                <w:color w:val="auto"/>
                <w:szCs w:val="22"/>
              </w:rPr>
              <w:t>最后报价得分＝（评标基准价/最后报价）×10％×100</w:t>
            </w:r>
          </w:p>
        </w:tc>
      </w:tr>
    </w:tbl>
    <w:p w14:paraId="27AE2E9E">
      <w:pPr>
        <w:rPr>
          <w:rFonts w:hint="eastAsia" w:ascii="宋体" w:hAnsi="宋体" w:eastAsia="宋体" w:cs="宋体"/>
          <w:color w:val="auto"/>
          <w:lang w:val="en-US" w:eastAsia="zh-CN"/>
        </w:rPr>
      </w:pPr>
    </w:p>
    <w:bookmarkEnd w:id="120"/>
    <w:bookmarkEnd w:id="121"/>
    <w:bookmarkEnd w:id="122"/>
    <w:p w14:paraId="0E0E4FE3">
      <w:pPr>
        <w:pStyle w:val="23"/>
        <w:ind w:left="0" w:leftChars="0" w:firstLine="420" w:firstLineChars="200"/>
        <w:jc w:val="left"/>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以上资质、证书、奖项、合同等相关材料须提供复印件并加盖公章胶装在响应文件内。供应商最终得分取各评委赋分的算术平均值。（以上记分均按四舍五入保留两位小数）。</w:t>
      </w:r>
    </w:p>
    <w:p w14:paraId="5086DE06">
      <w:pPr>
        <w:pStyle w:val="23"/>
        <w:ind w:left="0" w:leftChars="0" w:firstLine="422" w:firstLineChars="200"/>
        <w:jc w:val="left"/>
        <w:rPr>
          <w:rFonts w:hint="eastAsia" w:ascii="宋体" w:hAnsi="宋体" w:eastAsia="宋体" w:cs="宋体"/>
          <w:color w:val="auto"/>
          <w:lang w:eastAsia="zh-CN"/>
        </w:rPr>
      </w:pPr>
      <w:r>
        <w:rPr>
          <w:rFonts w:hint="eastAsia" w:ascii="宋体" w:hAnsi="宋体" w:eastAsia="宋体" w:cs="宋体"/>
          <w:b/>
          <w:bCs/>
          <w:color w:val="auto"/>
          <w:lang w:val="en-US" w:eastAsia="zh-CN"/>
        </w:rPr>
        <w:t>注：</w:t>
      </w:r>
      <w:r>
        <w:rPr>
          <w:rFonts w:hint="eastAsia" w:ascii="宋体" w:hAnsi="宋体" w:eastAsia="宋体" w:cs="宋体"/>
          <w:b/>
          <w:bCs/>
          <w:color w:val="auto"/>
        </w:rPr>
        <w:t>本项目采用综合评分法，总分为100分，按评审后综合得分由高到低顺序排列，由磋商小组推荐1-3个成交候选人，得分相同的，按最终响应报价由低到高顺序排列，得分且最终响应报价都相同的，在采购人及监督单位的监督下由报价相同的供应商现场抽签确定排序。</w:t>
      </w:r>
    </w:p>
    <w:p w14:paraId="569F6E33">
      <w:pPr>
        <w:spacing w:line="420" w:lineRule="exact"/>
        <w:ind w:firstLine="480" w:firstLineChars="200"/>
        <w:rPr>
          <w:rFonts w:hint="eastAsia" w:ascii="宋体" w:hAnsi="宋体" w:eastAsia="宋体" w:cs="宋体"/>
          <w:color w:val="auto"/>
          <w:sz w:val="24"/>
        </w:rPr>
      </w:pPr>
      <w:bookmarkStart w:id="123" w:name="_Toc22028_WPSOffice_Level1"/>
      <w:r>
        <w:rPr>
          <w:rFonts w:hint="eastAsia" w:ascii="宋体" w:hAnsi="宋体" w:eastAsia="宋体" w:cs="宋体"/>
          <w:color w:val="auto"/>
          <w:sz w:val="24"/>
        </w:rPr>
        <w:t>1.磋商小组依据本章磋商标准规定对磋商响应文件进行评审。</w:t>
      </w:r>
      <w:bookmarkEnd w:id="123"/>
    </w:p>
    <w:p w14:paraId="0E085611">
      <w:pPr>
        <w:spacing w:line="420" w:lineRule="exact"/>
        <w:ind w:firstLine="480" w:firstLineChars="200"/>
        <w:rPr>
          <w:rFonts w:hint="eastAsia" w:ascii="宋体" w:hAnsi="宋体" w:eastAsia="宋体" w:cs="宋体"/>
          <w:color w:val="auto"/>
          <w:sz w:val="24"/>
        </w:rPr>
      </w:pPr>
      <w:bookmarkStart w:id="124" w:name="_Toc18081_WPSOffice_Level1"/>
      <w:r>
        <w:rPr>
          <w:rFonts w:hint="eastAsia" w:ascii="宋体" w:hAnsi="宋体" w:eastAsia="宋体" w:cs="宋体"/>
          <w:color w:val="auto"/>
          <w:sz w:val="24"/>
        </w:rPr>
        <w:t>2. 磋商原则</w:t>
      </w:r>
      <w:bookmarkEnd w:id="124"/>
    </w:p>
    <w:p w14:paraId="4F2CA394">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遵循公平、公正、科学、择优的原则。</w:t>
      </w:r>
    </w:p>
    <w:p w14:paraId="0B8D1CA1">
      <w:pPr>
        <w:spacing w:line="420" w:lineRule="exact"/>
        <w:ind w:firstLine="480" w:firstLineChars="200"/>
        <w:rPr>
          <w:rFonts w:hint="eastAsia" w:ascii="宋体" w:hAnsi="宋体" w:eastAsia="宋体" w:cs="宋体"/>
          <w:color w:val="auto"/>
          <w:sz w:val="24"/>
        </w:rPr>
      </w:pPr>
      <w:bookmarkStart w:id="125" w:name="_Toc9521_WPSOffice_Level1"/>
      <w:r>
        <w:rPr>
          <w:rFonts w:hint="eastAsia" w:ascii="宋体" w:hAnsi="宋体" w:eastAsia="宋体" w:cs="宋体"/>
          <w:color w:val="auto"/>
          <w:sz w:val="24"/>
        </w:rPr>
        <w:t>3. 磋商小组组成及职责</w:t>
      </w:r>
      <w:bookmarkEnd w:id="125"/>
    </w:p>
    <w:p w14:paraId="55C74600">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3.1磋商小组</w:t>
      </w:r>
    </w:p>
    <w:p w14:paraId="3F7D8423">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磋商小组由采购人依法组建。所有磋商小组成员推举产生磋商小组组长。</w:t>
      </w:r>
    </w:p>
    <w:p w14:paraId="23090304">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3.2 磋商小组的职责</w:t>
      </w:r>
    </w:p>
    <w:p w14:paraId="531EC53A">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磋商小组应当根据磋商办法，对磋商响应文件进行评审和比较，根据采购人的授权直接确定成交供应商。各评委独立评审，提出评审意见，不受任何单位或者个人的干预。各评委对各自评审结果负责，并在磋商报告上签字确认。对磋商结论持有异议的磋商小组成员可以书面方式阐述其不同意见和理由。磋商小组成员拒绝在磋商报告上签字且不陈述其不同意见和理由的，视为同意磋商结论。磋商小组应当对此作出书面说明并记录在案。</w:t>
      </w:r>
    </w:p>
    <w:p w14:paraId="2C6BC75D">
      <w:pPr>
        <w:spacing w:line="420" w:lineRule="exact"/>
        <w:ind w:firstLine="480" w:firstLineChars="200"/>
        <w:rPr>
          <w:rFonts w:hint="eastAsia" w:ascii="宋体" w:hAnsi="宋体" w:eastAsia="宋体" w:cs="宋体"/>
          <w:color w:val="auto"/>
          <w:sz w:val="24"/>
        </w:rPr>
      </w:pPr>
      <w:bookmarkStart w:id="126" w:name="_Toc416271437"/>
      <w:bookmarkStart w:id="127" w:name="_Toc412647649"/>
      <w:bookmarkStart w:id="128" w:name="_Toc422395180"/>
      <w:bookmarkStart w:id="129" w:name="_Toc4423_WPSOffice_Level1"/>
      <w:bookmarkStart w:id="130" w:name="_Toc402855790"/>
      <w:bookmarkStart w:id="131" w:name="_Toc416271966"/>
      <w:bookmarkStart w:id="132" w:name="_Toc394241257"/>
      <w:bookmarkStart w:id="133" w:name="_Toc402426883"/>
      <w:bookmarkStart w:id="134" w:name="_Toc144974563"/>
      <w:bookmarkStart w:id="135" w:name="_Toc179632614"/>
      <w:bookmarkStart w:id="136" w:name="_Toc246996239"/>
      <w:bookmarkStart w:id="137" w:name="_Toc247085754"/>
      <w:bookmarkStart w:id="138" w:name="_Toc296602484"/>
      <w:bookmarkStart w:id="139" w:name="_Toc246996982"/>
      <w:bookmarkStart w:id="140" w:name="_Toc152045596"/>
      <w:bookmarkStart w:id="141" w:name="_Toc152042373"/>
      <w:r>
        <w:rPr>
          <w:rFonts w:hint="eastAsia" w:ascii="宋体" w:hAnsi="宋体" w:eastAsia="宋体" w:cs="宋体"/>
          <w:color w:val="auto"/>
          <w:sz w:val="24"/>
        </w:rPr>
        <w:t>4. 磋商程序</w:t>
      </w:r>
      <w:bookmarkEnd w:id="126"/>
      <w:bookmarkEnd w:id="127"/>
      <w:bookmarkEnd w:id="128"/>
      <w:bookmarkEnd w:id="129"/>
      <w:bookmarkEnd w:id="130"/>
      <w:bookmarkEnd w:id="131"/>
      <w:bookmarkEnd w:id="132"/>
      <w:bookmarkEnd w:id="133"/>
    </w:p>
    <w:p w14:paraId="7019F107">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磋商准备、初步评审（</w:t>
      </w:r>
      <w:r>
        <w:rPr>
          <w:rFonts w:hint="eastAsia" w:ascii="宋体" w:hAnsi="宋体" w:eastAsia="宋体" w:cs="宋体"/>
          <w:color w:val="auto"/>
          <w:kern w:val="0"/>
          <w:sz w:val="24"/>
        </w:rPr>
        <w:t>初审指标评审</w:t>
      </w:r>
      <w:r>
        <w:rPr>
          <w:rFonts w:hint="eastAsia" w:ascii="宋体" w:hAnsi="宋体" w:eastAsia="宋体" w:cs="宋体"/>
          <w:color w:val="auto"/>
          <w:sz w:val="24"/>
        </w:rPr>
        <w:t>）、综合评审。</w:t>
      </w:r>
    </w:p>
    <w:p w14:paraId="777B1AE3">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4.1磋商准备</w:t>
      </w:r>
    </w:p>
    <w:p w14:paraId="578FF57D">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磋商小组熟悉磋商工作情况：</w:t>
      </w:r>
    </w:p>
    <w:p w14:paraId="7B611D0D">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(1)听取采购人或者其委托的采购代理机构对竞争性磋商项目情况的介绍。</w:t>
      </w:r>
    </w:p>
    <w:p w14:paraId="6EB0778E">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阅读、研究竞争性磋商文件和相关磋商资料，获取磋商所需要的重要信息和数据,至少应了解和熟悉以下内容：竞争性磋商的目标、竞争性磋商项目的范围和性质、竞争性磋商文件规定的主要技术要求、标准和商务条款。</w:t>
      </w:r>
    </w:p>
    <w:p w14:paraId="3B7738FC">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(3)熟悉竞争性磋商文件规定的磋商标准和磋商方法及在磋商过程中需要考虑的相关因素。</w:t>
      </w:r>
    </w:p>
    <w:p w14:paraId="4F757DF5">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(4)核对磋商工作用表。</w:t>
      </w:r>
    </w:p>
    <w:p w14:paraId="6098DFC7">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4.2初步评审</w:t>
      </w:r>
    </w:p>
    <w:p w14:paraId="494EC04B">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符合性评审和资格评审。磋商小组依据上述标准对磋商响应文件进行初步评审。</w:t>
      </w:r>
      <w:r>
        <w:rPr>
          <w:rFonts w:hint="eastAsia" w:ascii="宋体" w:hAnsi="宋体" w:eastAsia="宋体" w:cs="宋体"/>
          <w:b/>
          <w:color w:val="auto"/>
          <w:sz w:val="24"/>
        </w:rPr>
        <w:t>有一项不符合评审标准的</w:t>
      </w:r>
      <w:r>
        <w:rPr>
          <w:rFonts w:hint="eastAsia" w:ascii="宋体" w:hAnsi="宋体" w:eastAsia="宋体" w:cs="宋体"/>
          <w:color w:val="auto"/>
          <w:sz w:val="24"/>
        </w:rPr>
        <w:t>，视为未通过，不得进入磋商程序，磋商响应文件作无效标处理。（</w:t>
      </w:r>
      <w:r>
        <w:rPr>
          <w:rFonts w:hint="eastAsia" w:ascii="宋体" w:hAnsi="宋体" w:eastAsia="宋体" w:cs="宋体"/>
          <w:color w:val="auto"/>
          <w:sz w:val="24"/>
          <w:lang w:val="en-US" w:eastAsia="zh-CN"/>
        </w:rPr>
        <w:t>若通</w:t>
      </w:r>
      <w:r>
        <w:rPr>
          <w:rFonts w:hint="eastAsia" w:ascii="宋体" w:hAnsi="宋体" w:eastAsia="宋体" w:cs="宋体"/>
          <w:color w:val="auto"/>
          <w:sz w:val="24"/>
        </w:rPr>
        <w:t>过初步评审供应商为两家时，磋商小组认为仍有竞争力可继续评审。）</w:t>
      </w:r>
    </w:p>
    <w:bookmarkEnd w:id="134"/>
    <w:bookmarkEnd w:id="135"/>
    <w:bookmarkEnd w:id="136"/>
    <w:bookmarkEnd w:id="137"/>
    <w:bookmarkEnd w:id="138"/>
    <w:bookmarkEnd w:id="139"/>
    <w:bookmarkEnd w:id="140"/>
    <w:bookmarkEnd w:id="141"/>
    <w:p w14:paraId="669F1B70">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4.3磋商</w:t>
      </w:r>
    </w:p>
    <w:p w14:paraId="0309A3A1">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4.3.1由本项目磋商小组分别与各供应商进行磋商。在正式磋商前，对各供应商的资格条件、响应文件的有效性、完整性和响应程度进行审查，审查的内容包括供应商营业执</w:t>
      </w:r>
      <w:r>
        <w:rPr>
          <w:rFonts w:hint="eastAsia" w:ascii="宋体" w:hAnsi="宋体" w:eastAsia="宋体" w:cs="宋体"/>
          <w:color w:val="auto"/>
          <w:sz w:val="24"/>
          <w:szCs w:val="22"/>
        </w:rPr>
        <w:t>照等磋商文件中要求的材料。</w:t>
      </w:r>
      <w:r>
        <w:rPr>
          <w:rFonts w:hint="eastAsia" w:ascii="宋体" w:hAnsi="宋体" w:eastAsia="宋体" w:cs="宋体"/>
          <w:color w:val="auto"/>
          <w:sz w:val="24"/>
        </w:rPr>
        <w:t>各供应商只有在完全符合磋商要求的前提下，才能参与正式磋商。</w:t>
      </w:r>
    </w:p>
    <w:p w14:paraId="50A0817C">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4.3.2在磋商过程中磋商的任何一方不得向他人透露与磋商有关的技术资料、价格或其他信息。</w:t>
      </w:r>
    </w:p>
    <w:p w14:paraId="456E585F">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4.3.3在磋商过程中，磋商小组可以根据竞争性磋商文件和磋商情况实质性变动采购需求中的技术、服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供应商应当按照竞争性磋商文件的变动情况和磋商小组的要求重新提交响应文件或重新做出相关的书面承诺，并报出最佳服务，最后统一报价。</w:t>
      </w:r>
    </w:p>
    <w:p w14:paraId="79BA0454">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4.3.4所有供应商在磋商时做出的所有书面承诺须由供应商法人授权代表签字。</w:t>
      </w:r>
    </w:p>
    <w:p w14:paraId="47C80787">
      <w:pPr>
        <w:spacing w:line="360" w:lineRule="auto"/>
        <w:ind w:firstLine="480" w:firstLineChars="200"/>
        <w:rPr>
          <w:rFonts w:hint="eastAsia" w:ascii="宋体" w:hAnsi="宋体" w:eastAsia="宋体" w:cs="宋体"/>
          <w:color w:val="auto"/>
        </w:rPr>
      </w:pPr>
      <w:r>
        <w:rPr>
          <w:rFonts w:hint="eastAsia" w:ascii="宋体" w:hAnsi="宋体" w:eastAsia="宋体" w:cs="宋体"/>
          <w:color w:val="auto"/>
          <w:sz w:val="24"/>
        </w:rPr>
        <w:t>4.3.5本次磋商程序为N轮磋商、N+1报价；报价单位的第N+1轮报价应低于自已的第N轮报价。（本项目暂定报价次数为两次，如有需要磋商小组可进行增加，具体多少轮由磋商小组定）。磋商结束后，磋商小组要求通过资格性审查的供应商在规定的时间内书面提出二次报价及有关承诺（填写《第二次报价表》并递交），并据此确定成交候选人。已提交响应文件的供应商，在提交第二次报价之前退出磋商的或超出规定时间没有进行第二次报价的供应商，均视为放弃第二次报价，以供应商的响应文件报价(第一次报价)为准。</w:t>
      </w:r>
    </w:p>
    <w:p w14:paraId="3EFF1761">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4.4磋商响应文件的澄清和补正</w:t>
      </w:r>
    </w:p>
    <w:p w14:paraId="23E33549">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4.4.1在磋商过程中，磋商小组应以书面形式要求供应商对所提交的磋商响应文件中不明确的内容进行书面澄清或说明，或者对细微偏差进行补正。磋商小组不接受供应商主动提出的澄清、说明或补正。</w:t>
      </w:r>
    </w:p>
    <w:p w14:paraId="30851D76">
      <w:pPr>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4.4.2 澄清、说明和补正不得改变磋商响应文件的实质性内容。供应商的书面澄清、说明和补正属于磋商响应文件的组成部分。</w:t>
      </w:r>
    </w:p>
    <w:p w14:paraId="5CE069A7">
      <w:pPr>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4.4.3 磋商小组对供应商提交的澄清、说明或补正有疑问的，可以要求供应商进一步澄清、说明或补正，直至满足磋商小组的要求。</w:t>
      </w:r>
    </w:p>
    <w:p w14:paraId="0CC68915">
      <w:pPr>
        <w:spacing w:line="420" w:lineRule="exact"/>
        <w:ind w:firstLine="480" w:firstLineChars="200"/>
        <w:rPr>
          <w:rFonts w:hint="eastAsia" w:ascii="宋体" w:hAnsi="宋体" w:eastAsia="宋体" w:cs="宋体"/>
          <w:color w:val="auto"/>
          <w:sz w:val="24"/>
          <w:szCs w:val="22"/>
        </w:rPr>
      </w:pPr>
      <w:bookmarkStart w:id="142" w:name="_Toc179632615"/>
      <w:bookmarkStart w:id="143" w:name="_Toc152042374"/>
      <w:bookmarkStart w:id="144" w:name="_Toc246996240"/>
      <w:bookmarkStart w:id="145" w:name="_Toc152045597"/>
      <w:bookmarkStart w:id="146" w:name="_Toc144974564"/>
      <w:bookmarkStart w:id="147" w:name="_Toc246996983"/>
      <w:bookmarkStart w:id="148" w:name="_Toc296602485"/>
      <w:bookmarkStart w:id="149" w:name="_Toc247085755"/>
      <w:r>
        <w:rPr>
          <w:rFonts w:hint="eastAsia" w:ascii="宋体" w:hAnsi="宋体" w:eastAsia="宋体" w:cs="宋体"/>
          <w:color w:val="auto"/>
          <w:sz w:val="24"/>
        </w:rPr>
        <w:t>4.5磋商结果</w:t>
      </w:r>
      <w:bookmarkEnd w:id="142"/>
      <w:bookmarkEnd w:id="143"/>
      <w:bookmarkEnd w:id="144"/>
      <w:bookmarkEnd w:id="145"/>
      <w:bookmarkEnd w:id="146"/>
      <w:bookmarkEnd w:id="147"/>
      <w:bookmarkEnd w:id="148"/>
      <w:bookmarkEnd w:id="149"/>
    </w:p>
    <w:p w14:paraId="3146267C">
      <w:pPr>
        <w:spacing w:line="420" w:lineRule="exact"/>
        <w:ind w:firstLine="480" w:firstLineChars="200"/>
        <w:rPr>
          <w:rFonts w:hint="eastAsia" w:ascii="宋体" w:hAnsi="宋体" w:eastAsia="宋体" w:cs="宋体"/>
          <w:color w:val="auto"/>
          <w:sz w:val="24"/>
          <w:szCs w:val="22"/>
        </w:rPr>
      </w:pPr>
      <w:r>
        <w:rPr>
          <w:rFonts w:hint="eastAsia" w:ascii="宋体" w:hAnsi="宋体" w:eastAsia="宋体" w:cs="宋体"/>
          <w:color w:val="auto"/>
          <w:sz w:val="24"/>
          <w:szCs w:val="22"/>
        </w:rPr>
        <w:t>4.5.1磋商小组按照评审后综合得分由高到低排列，并标明排列顺序，取第一名为成交供应商。</w:t>
      </w:r>
    </w:p>
    <w:p w14:paraId="42BCA03E">
      <w:pPr>
        <w:spacing w:line="42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4.5.2 磋商小组完成磋商后，应当向采购人提交书面磋商报告。</w:t>
      </w:r>
    </w:p>
    <w:p w14:paraId="3E07CC24">
      <w:pPr>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rPr>
        <w:t>4.5.3</w:t>
      </w:r>
      <w:r>
        <w:rPr>
          <w:rFonts w:hint="eastAsia" w:ascii="宋体" w:hAnsi="宋体" w:eastAsia="宋体" w:cs="宋体"/>
          <w:b/>
          <w:bCs/>
          <w:color w:val="auto"/>
          <w:sz w:val="24"/>
        </w:rPr>
        <w:t>排名第一</w:t>
      </w:r>
      <w:r>
        <w:rPr>
          <w:rFonts w:hint="eastAsia" w:ascii="宋体" w:hAnsi="宋体" w:eastAsia="宋体" w:cs="宋体"/>
          <w:color w:val="auto"/>
          <w:sz w:val="24"/>
        </w:rPr>
        <w:t>的成交供应商放弃成交、因不可抗力提出不能履行合同，或者竞争性磋商文件规定应当提交履约保证金而在规定的期限内未能提交的，采购人可以按照磋商</w:t>
      </w:r>
      <w:r>
        <w:rPr>
          <w:rFonts w:hint="eastAsia" w:ascii="宋体" w:hAnsi="宋体" w:eastAsia="宋体" w:cs="宋体"/>
          <w:color w:val="auto"/>
          <w:sz w:val="24"/>
          <w:szCs w:val="24"/>
        </w:rPr>
        <w:t>小组推荐的排名顺序依序确定成交供应商,依次类推或重新招标。</w:t>
      </w:r>
    </w:p>
    <w:p w14:paraId="67A3759A">
      <w:pPr>
        <w:pStyle w:val="23"/>
        <w:spacing w:line="420" w:lineRule="exact"/>
        <w:ind w:left="0" w:leftChars="0" w:firstLine="480"/>
        <w:rPr>
          <w:rFonts w:hint="eastAsia" w:ascii="宋体" w:hAnsi="宋体" w:eastAsia="宋体" w:cs="宋体"/>
          <w:color w:val="auto"/>
          <w:sz w:val="24"/>
        </w:rPr>
      </w:pPr>
      <w:r>
        <w:rPr>
          <w:rFonts w:hint="eastAsia" w:ascii="宋体" w:hAnsi="宋体" w:eastAsia="宋体" w:cs="宋体"/>
          <w:color w:val="auto"/>
          <w:sz w:val="24"/>
          <w:szCs w:val="24"/>
        </w:rPr>
        <w:t>4.5.4采购代理机构将在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界首市人民政府网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网站上发布评审结果公告，公告期为1个工作日，期满无异议则自动转为成交公告。</w:t>
      </w:r>
    </w:p>
    <w:p w14:paraId="3743C4C5">
      <w:pPr>
        <w:snapToGrid w:val="0"/>
        <w:spacing w:line="420" w:lineRule="exact"/>
        <w:rPr>
          <w:rFonts w:hint="eastAsia" w:ascii="宋体" w:hAnsi="宋体" w:eastAsia="宋体" w:cs="宋体"/>
          <w:b/>
          <w:color w:val="auto"/>
          <w:sz w:val="24"/>
          <w:szCs w:val="24"/>
        </w:rPr>
      </w:pPr>
      <w:bookmarkStart w:id="150" w:name="_Toc11173_WPSOffice_Level1"/>
      <w:r>
        <w:rPr>
          <w:rFonts w:hint="eastAsia" w:ascii="宋体" w:hAnsi="宋体" w:eastAsia="宋体" w:cs="宋体"/>
          <w:b/>
          <w:color w:val="auto"/>
          <w:sz w:val="24"/>
          <w:szCs w:val="24"/>
        </w:rPr>
        <w:t>5、供应商有以下情形之一的，初步评审后其响应作</w:t>
      </w:r>
      <w:r>
        <w:rPr>
          <w:rFonts w:hint="eastAsia" w:ascii="宋体" w:hAnsi="宋体" w:eastAsia="宋体" w:cs="宋体"/>
          <w:b/>
          <w:color w:val="auto"/>
          <w:sz w:val="24"/>
          <w:szCs w:val="24"/>
          <w:lang w:val="en-US" w:eastAsia="zh-CN"/>
        </w:rPr>
        <w:t>无效标</w:t>
      </w:r>
      <w:r>
        <w:rPr>
          <w:rFonts w:hint="eastAsia" w:ascii="宋体" w:hAnsi="宋体" w:eastAsia="宋体" w:cs="宋体"/>
          <w:b/>
          <w:color w:val="auto"/>
          <w:sz w:val="24"/>
          <w:szCs w:val="24"/>
        </w:rPr>
        <w:t>处理：</w:t>
      </w:r>
      <w:bookmarkEnd w:id="150"/>
    </w:p>
    <w:p w14:paraId="7ABB1BCF">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1）串通响应或弄虚作假或有其他违法行为的。</w:t>
      </w:r>
    </w:p>
    <w:p w14:paraId="5F340EA0">
      <w:pPr>
        <w:snapToGrid w:val="0"/>
        <w:spacing w:line="420" w:lineRule="exact"/>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串通响应行为是指：</w:t>
      </w:r>
    </w:p>
    <w:p w14:paraId="419922CA">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（a）不同供应商委托同一人响应；</w:t>
      </w:r>
    </w:p>
    <w:p w14:paraId="58942058">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（b）不同供应商的响应文件载明的项目管理班子成员出现同一人的；</w:t>
      </w:r>
    </w:p>
    <w:p w14:paraId="198BBC85">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（c）不同供应商的响应文件相互混装的；</w:t>
      </w:r>
    </w:p>
    <w:p w14:paraId="1CF69097">
      <w:pPr>
        <w:tabs>
          <w:tab w:val="left" w:pos="900"/>
        </w:tabs>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2）逾期送达的响应文件；</w:t>
      </w:r>
    </w:p>
    <w:p w14:paraId="6466659A">
      <w:pPr>
        <w:tabs>
          <w:tab w:val="left" w:pos="735"/>
          <w:tab w:val="left" w:pos="900"/>
        </w:tabs>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3）响应文件有关内容未按规定加盖供应商印章或未经法定代表人（负责人）或其委托代理人签字或盖章的；由委托代理人签字或盖章的，但未随响应文件一起提交有效的“授权委托书”原件的；</w:t>
      </w:r>
    </w:p>
    <w:p w14:paraId="21B967F8">
      <w:pPr>
        <w:tabs>
          <w:tab w:val="left" w:pos="900"/>
        </w:tabs>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4）响应文件份数、装订、密封和标记不符合竞争性磋商文件要求的；响应文件未胶装的。</w:t>
      </w:r>
    </w:p>
    <w:p w14:paraId="29D9E8B9">
      <w:pPr>
        <w:tabs>
          <w:tab w:val="left" w:pos="900"/>
        </w:tabs>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5）供应商递交两份或多份内容不同的响应文件；或在一份响应文件中对同一招标项目报有两个或多个报价的，且未书面声明以哪个报价为准。</w:t>
      </w:r>
    </w:p>
    <w:p w14:paraId="3896E50A">
      <w:pPr>
        <w:tabs>
          <w:tab w:val="left" w:pos="900"/>
        </w:tabs>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6）被阜阳市招投标监督管理部门或行业主管部门取消响应资格并在处罚期内的；</w:t>
      </w:r>
    </w:p>
    <w:p w14:paraId="37DE3844">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7）不按磋商小组要求澄清、说明或补正的。</w:t>
      </w:r>
    </w:p>
    <w:p w14:paraId="58FA3046">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 响应文件中的报价单及其它内容相应位置处没有签字、盖章的。</w:t>
      </w:r>
    </w:p>
    <w:p w14:paraId="312168CD">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9）响应文件中响应报价、服务期限或其它实质性要求不能满足竞争性磋商文件要求,或作出的承诺与竞争性磋商文件中提供的响应函样本中相关内容相抵触或有遗漏的。</w:t>
      </w:r>
    </w:p>
    <w:p w14:paraId="2D68895E">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10）未按规定的格式填写，实质性内容不全或关键字迹模糊、无法辨认的。</w:t>
      </w:r>
    </w:p>
    <w:p w14:paraId="55456362">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11）响应报价高于最高响应下限的。</w:t>
      </w:r>
    </w:p>
    <w:p w14:paraId="443A77EB">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12）响应文件对采购人提供的需求清单单项无报价或零报价的。</w:t>
      </w:r>
    </w:p>
    <w:p w14:paraId="0D7DC963">
      <w:pPr>
        <w:snapToGrid w:val="0"/>
        <w:spacing w:line="4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13）响应文件中存在采购人不能接受的其它实质性条件。</w:t>
      </w:r>
    </w:p>
    <w:p w14:paraId="621023FF">
      <w:pPr>
        <w:spacing w:line="420" w:lineRule="exact"/>
        <w:ind w:firstLine="480" w:firstLineChars="200"/>
        <w:rPr>
          <w:rFonts w:hint="eastAsia" w:ascii="宋体" w:hAnsi="宋体" w:eastAsia="宋体" w:cs="宋体"/>
          <w:bCs/>
          <w:color w:val="auto"/>
          <w:sz w:val="24"/>
          <w:szCs w:val="24"/>
          <w:u w:val="single"/>
        </w:rPr>
      </w:pPr>
      <w:r>
        <w:rPr>
          <w:rFonts w:hint="eastAsia" w:ascii="宋体" w:hAnsi="宋体" w:eastAsia="宋体" w:cs="宋体"/>
          <w:color w:val="auto"/>
          <w:sz w:val="24"/>
          <w:szCs w:val="24"/>
        </w:rPr>
        <w:t>14）法律、法规规定的其它情形。</w:t>
      </w:r>
    </w:p>
    <w:p w14:paraId="334D84C0">
      <w:pPr>
        <w:spacing w:line="420" w:lineRule="exact"/>
        <w:ind w:firstLine="354" w:firstLineChars="147"/>
        <w:jc w:val="both"/>
        <w:rPr>
          <w:rFonts w:hint="eastAsia" w:ascii="宋体" w:hAnsi="宋体" w:eastAsia="宋体" w:cs="宋体"/>
          <w:color w:val="auto"/>
          <w:sz w:val="24"/>
        </w:rPr>
        <w:sectPr>
          <w:headerReference r:id="rId6" w:type="default"/>
          <w:footerReference r:id="rId7" w:type="default"/>
          <w:pgSz w:w="11907" w:h="16840"/>
          <w:pgMar w:top="1440" w:right="1480" w:bottom="1440" w:left="1593" w:header="851" w:footer="882" w:gutter="0"/>
          <w:pgNumType w:fmt="decimal"/>
          <w:cols w:space="720" w:num="1"/>
          <w:docGrid w:linePitch="303" w:charSpace="0"/>
        </w:sectPr>
      </w:pPr>
      <w:r>
        <w:rPr>
          <w:rFonts w:hint="eastAsia" w:ascii="宋体" w:hAnsi="宋体" w:eastAsia="宋体" w:cs="宋体"/>
          <w:b/>
          <w:color w:val="auto"/>
          <w:sz w:val="24"/>
        </w:rPr>
        <w:t>6、适用范围 ：</w:t>
      </w:r>
      <w:r>
        <w:rPr>
          <w:rFonts w:hint="eastAsia" w:ascii="宋体" w:hAnsi="宋体" w:eastAsia="宋体" w:cs="宋体"/>
          <w:color w:val="auto"/>
          <w:sz w:val="24"/>
        </w:rPr>
        <w:t>适用于本项目</w:t>
      </w:r>
    </w:p>
    <w:p w14:paraId="3FE5F28E">
      <w:pPr>
        <w:spacing w:before="3"/>
        <w:rPr>
          <w:rFonts w:hint="eastAsia" w:ascii="宋体" w:hAnsi="宋体" w:eastAsia="宋体" w:cs="宋体"/>
          <w:color w:val="auto"/>
          <w:sz w:val="7"/>
          <w:szCs w:val="7"/>
        </w:rPr>
      </w:pPr>
    </w:p>
    <w:p w14:paraId="618665B9">
      <w:pPr>
        <w:pStyle w:val="4"/>
        <w:tabs>
          <w:tab w:val="left" w:pos="1125"/>
        </w:tabs>
        <w:ind w:right="136"/>
        <w:jc w:val="center"/>
        <w:rPr>
          <w:rFonts w:hint="eastAsia" w:ascii="宋体" w:hAnsi="宋体" w:eastAsia="宋体" w:cs="宋体"/>
          <w:b/>
          <w:color w:val="auto"/>
          <w:kern w:val="0"/>
          <w:sz w:val="36"/>
          <w:szCs w:val="28"/>
          <w:lang w:val="zh-CN" w:bidi="zh-CN"/>
        </w:rPr>
      </w:pPr>
      <w:bookmarkStart w:id="151" w:name="四、报价要求"/>
      <w:bookmarkEnd w:id="151"/>
      <w:r>
        <w:rPr>
          <w:rFonts w:hint="eastAsia" w:ascii="宋体" w:hAnsi="宋体" w:eastAsia="宋体" w:cs="宋体"/>
          <w:b/>
          <w:color w:val="auto"/>
          <w:sz w:val="36"/>
          <w:szCs w:val="36"/>
        </w:rPr>
        <w:t>第五章</w:t>
      </w:r>
      <w:r>
        <w:rPr>
          <w:rFonts w:hint="eastAsia" w:ascii="宋体" w:hAnsi="宋体" w:eastAsia="宋体" w:cs="宋体"/>
          <w:color w:val="auto"/>
        </w:rPr>
        <w:t xml:space="preserve">  </w:t>
      </w:r>
      <w:r>
        <w:rPr>
          <w:rFonts w:hint="eastAsia" w:ascii="宋体" w:hAnsi="宋体" w:eastAsia="宋体" w:cs="宋体"/>
          <w:color w:val="auto"/>
          <w:sz w:val="32"/>
          <w:szCs w:val="32"/>
        </w:rPr>
        <w:tab/>
      </w:r>
      <w:r>
        <w:rPr>
          <w:rFonts w:hint="eastAsia" w:ascii="宋体" w:hAnsi="宋体" w:eastAsia="宋体" w:cs="宋体"/>
          <w:color w:val="auto"/>
          <w:sz w:val="36"/>
          <w:szCs w:val="36"/>
        </w:rPr>
        <w:t>合同格式及基本条款</w:t>
      </w:r>
    </w:p>
    <w:p w14:paraId="4BAE98A4">
      <w:pPr>
        <w:pStyle w:val="12"/>
        <w:spacing w:before="10"/>
        <w:rPr>
          <w:rFonts w:hint="eastAsia" w:ascii="宋体" w:hAnsi="宋体" w:eastAsia="宋体" w:cs="宋体"/>
          <w:b/>
          <w:color w:val="auto"/>
          <w:sz w:val="32"/>
        </w:rPr>
      </w:pPr>
    </w:p>
    <w:p w14:paraId="453F5628">
      <w:pPr>
        <w:pStyle w:val="6"/>
        <w:spacing w:before="0"/>
        <w:ind w:left="1367" w:right="1503"/>
        <w:jc w:val="center"/>
        <w:rPr>
          <w:rFonts w:hint="eastAsia" w:ascii="宋体" w:hAnsi="宋体" w:eastAsia="宋体" w:cs="宋体"/>
          <w:color w:val="auto"/>
          <w:sz w:val="28"/>
          <w:szCs w:val="28"/>
        </w:rPr>
      </w:pPr>
      <w:r>
        <w:rPr>
          <w:rFonts w:hint="eastAsia" w:ascii="宋体" w:hAnsi="宋体" w:eastAsia="宋体" w:cs="宋体"/>
          <w:color w:val="auto"/>
          <w:spacing w:val="-1"/>
          <w:sz w:val="28"/>
          <w:szCs w:val="28"/>
        </w:rPr>
        <w:t>第一部分 合同书</w:t>
      </w:r>
    </w:p>
    <w:p w14:paraId="2804CD49">
      <w:pPr>
        <w:pStyle w:val="12"/>
        <w:rPr>
          <w:rFonts w:hint="eastAsia" w:ascii="宋体" w:hAnsi="宋体" w:eastAsia="宋体" w:cs="宋体"/>
          <w:b/>
          <w:color w:val="auto"/>
          <w:sz w:val="28"/>
          <w:szCs w:val="28"/>
        </w:rPr>
      </w:pPr>
    </w:p>
    <w:p w14:paraId="70A26C2B">
      <w:pPr>
        <w:pStyle w:val="12"/>
        <w:rPr>
          <w:rFonts w:hint="eastAsia" w:ascii="宋体" w:hAnsi="宋体" w:eastAsia="宋体" w:cs="宋体"/>
          <w:b/>
          <w:color w:val="auto"/>
          <w:sz w:val="28"/>
          <w:szCs w:val="28"/>
        </w:rPr>
      </w:pPr>
    </w:p>
    <w:p w14:paraId="6E745415">
      <w:pPr>
        <w:pStyle w:val="12"/>
        <w:rPr>
          <w:rFonts w:hint="eastAsia" w:ascii="宋体" w:hAnsi="宋体" w:eastAsia="宋体" w:cs="宋体"/>
          <w:b/>
          <w:color w:val="auto"/>
          <w:sz w:val="28"/>
          <w:szCs w:val="28"/>
        </w:rPr>
      </w:pPr>
    </w:p>
    <w:p w14:paraId="7E19654E">
      <w:pPr>
        <w:pStyle w:val="12"/>
        <w:rPr>
          <w:rFonts w:hint="eastAsia" w:ascii="宋体" w:hAnsi="宋体" w:eastAsia="宋体" w:cs="宋体"/>
          <w:b/>
          <w:color w:val="auto"/>
          <w:sz w:val="28"/>
          <w:szCs w:val="28"/>
        </w:rPr>
      </w:pPr>
    </w:p>
    <w:p w14:paraId="600E6065">
      <w:pPr>
        <w:pStyle w:val="12"/>
        <w:rPr>
          <w:rFonts w:hint="eastAsia" w:ascii="宋体" w:hAnsi="宋体" w:eastAsia="宋体" w:cs="宋体"/>
          <w:b/>
          <w:color w:val="auto"/>
          <w:sz w:val="28"/>
          <w:szCs w:val="28"/>
        </w:rPr>
      </w:pPr>
    </w:p>
    <w:p w14:paraId="7FACC4A7">
      <w:pPr>
        <w:pStyle w:val="12"/>
        <w:rPr>
          <w:rFonts w:hint="eastAsia" w:ascii="宋体" w:hAnsi="宋体" w:eastAsia="宋体" w:cs="宋体"/>
          <w:b/>
          <w:color w:val="auto"/>
          <w:sz w:val="28"/>
          <w:szCs w:val="28"/>
        </w:rPr>
      </w:pPr>
    </w:p>
    <w:p w14:paraId="464D40B3">
      <w:pPr>
        <w:spacing w:before="1"/>
        <w:ind w:right="135" w:firstLine="840" w:firstLineChars="300"/>
        <w:jc w:val="both"/>
        <w:rPr>
          <w:rFonts w:hint="default" w:ascii="宋体" w:hAnsi="宋体" w:eastAsia="宋体" w:cs="宋体"/>
          <w:color w:val="auto"/>
          <w:sz w:val="28"/>
          <w:szCs w:val="28"/>
          <w:u w:val="single"/>
          <w:lang w:val="en-US" w:eastAsia="zh-CN"/>
        </w:rPr>
      </w:pP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项目名称：</w:t>
      </w:r>
      <w:r>
        <w:rPr>
          <w:rFonts w:hint="eastAsia" w:ascii="宋体" w:hAnsi="宋体" w:cs="宋体"/>
          <w:color w:val="auto"/>
          <w:sz w:val="28"/>
          <w:szCs w:val="28"/>
          <w:u w:val="single"/>
          <w:lang w:val="en-US" w:eastAsia="zh-CN"/>
        </w:rPr>
        <w:t xml:space="preserve">                              </w:t>
      </w:r>
    </w:p>
    <w:p w14:paraId="0DB24584">
      <w:pPr>
        <w:pStyle w:val="12"/>
        <w:spacing w:before="8"/>
        <w:rPr>
          <w:rFonts w:hint="eastAsia" w:ascii="宋体" w:hAnsi="宋体" w:eastAsia="宋体" w:cs="宋体"/>
          <w:color w:val="auto"/>
          <w:sz w:val="28"/>
          <w:szCs w:val="28"/>
        </w:rPr>
      </w:pPr>
    </w:p>
    <w:p w14:paraId="5758F153">
      <w:pPr>
        <w:pStyle w:val="12"/>
        <w:spacing w:before="3"/>
        <w:rPr>
          <w:rFonts w:hint="eastAsia" w:ascii="宋体" w:hAnsi="宋体" w:eastAsia="宋体" w:cs="宋体"/>
          <w:color w:val="auto"/>
          <w:sz w:val="28"/>
          <w:szCs w:val="28"/>
        </w:rPr>
      </w:pPr>
    </w:p>
    <w:p w14:paraId="775EA464">
      <w:pPr>
        <w:pStyle w:val="12"/>
        <w:tabs>
          <w:tab w:val="left" w:pos="6636"/>
        </w:tabs>
        <w:spacing w:before="74"/>
        <w:ind w:left="1180"/>
        <w:rPr>
          <w:rFonts w:hint="eastAsia" w:ascii="宋体" w:hAnsi="宋体" w:eastAsia="宋体" w:cs="宋体"/>
          <w:color w:val="auto"/>
          <w:sz w:val="28"/>
          <w:szCs w:val="28"/>
        </w:rPr>
      </w:pPr>
      <w:r>
        <w:rPr>
          <w:rFonts w:hint="eastAsia" w:ascii="宋体" w:hAnsi="宋体" w:eastAsia="宋体" w:cs="宋体"/>
          <w:color w:val="auto"/>
          <w:sz w:val="28"/>
          <w:szCs w:val="28"/>
        </w:rPr>
        <w:t>甲方（采购人</w:t>
      </w:r>
      <w:r>
        <w:rPr>
          <w:rFonts w:hint="eastAsia" w:ascii="宋体" w:hAnsi="宋体" w:eastAsia="宋体" w:cs="宋体"/>
          <w:color w:val="auto"/>
          <w:spacing w:val="-120"/>
          <w:sz w:val="28"/>
          <w:szCs w:val="28"/>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p>
    <w:p w14:paraId="49FBFB7C">
      <w:pPr>
        <w:pStyle w:val="12"/>
        <w:rPr>
          <w:rFonts w:hint="eastAsia" w:ascii="宋体" w:hAnsi="宋体" w:eastAsia="宋体" w:cs="宋体"/>
          <w:color w:val="auto"/>
          <w:sz w:val="28"/>
          <w:szCs w:val="28"/>
        </w:rPr>
      </w:pPr>
    </w:p>
    <w:p w14:paraId="7438179F">
      <w:pPr>
        <w:pStyle w:val="12"/>
        <w:tabs>
          <w:tab w:val="left" w:pos="6636"/>
        </w:tabs>
        <w:spacing w:before="207"/>
        <w:ind w:left="1180"/>
        <w:rPr>
          <w:rFonts w:hint="eastAsia" w:ascii="宋体" w:hAnsi="宋体" w:eastAsia="宋体" w:cs="宋体"/>
          <w:color w:val="auto"/>
          <w:sz w:val="28"/>
          <w:szCs w:val="28"/>
        </w:rPr>
      </w:pPr>
      <w:r>
        <w:rPr>
          <w:rFonts w:hint="eastAsia" w:ascii="宋体" w:hAnsi="宋体" w:eastAsia="宋体" w:cs="宋体"/>
          <w:color w:val="auto"/>
          <w:sz w:val="28"/>
          <w:szCs w:val="28"/>
        </w:rPr>
        <w:t>乙方（中标人</w:t>
      </w:r>
      <w:r>
        <w:rPr>
          <w:rFonts w:hint="eastAsia" w:ascii="宋体" w:hAnsi="宋体" w:eastAsia="宋体" w:cs="宋体"/>
          <w:color w:val="auto"/>
          <w:spacing w:val="-120"/>
          <w:sz w:val="28"/>
          <w:szCs w:val="28"/>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p>
    <w:p w14:paraId="1D1CE32C">
      <w:pPr>
        <w:pStyle w:val="12"/>
        <w:rPr>
          <w:rFonts w:hint="eastAsia" w:ascii="宋体" w:hAnsi="宋体" w:eastAsia="宋体" w:cs="宋体"/>
          <w:color w:val="auto"/>
          <w:sz w:val="28"/>
          <w:szCs w:val="28"/>
        </w:rPr>
      </w:pPr>
    </w:p>
    <w:p w14:paraId="7B696AB9">
      <w:pPr>
        <w:pStyle w:val="12"/>
        <w:tabs>
          <w:tab w:val="left" w:pos="6636"/>
        </w:tabs>
        <w:spacing w:before="207"/>
        <w:ind w:left="1180"/>
        <w:rPr>
          <w:rFonts w:hint="eastAsia" w:ascii="宋体" w:hAnsi="宋体" w:eastAsia="宋体" w:cs="宋体"/>
          <w:color w:val="auto"/>
          <w:sz w:val="28"/>
          <w:szCs w:val="28"/>
        </w:rPr>
      </w:pPr>
      <w:r>
        <w:rPr>
          <w:rFonts w:hint="eastAsia" w:ascii="宋体" w:hAnsi="宋体" w:eastAsia="宋体" w:cs="宋体"/>
          <w:color w:val="auto"/>
          <w:sz w:val="28"/>
          <w:szCs w:val="28"/>
        </w:rPr>
        <w:t>签订地：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p>
    <w:p w14:paraId="5573226D">
      <w:pPr>
        <w:pStyle w:val="12"/>
        <w:rPr>
          <w:rFonts w:hint="eastAsia" w:ascii="宋体" w:hAnsi="宋体" w:eastAsia="宋体" w:cs="宋体"/>
          <w:color w:val="auto"/>
          <w:sz w:val="28"/>
          <w:szCs w:val="28"/>
        </w:rPr>
      </w:pPr>
    </w:p>
    <w:p w14:paraId="53CBE8CA">
      <w:pPr>
        <w:pStyle w:val="12"/>
        <w:tabs>
          <w:tab w:val="left" w:pos="4180"/>
          <w:tab w:val="left" w:pos="5261"/>
          <w:tab w:val="left" w:pos="6341"/>
        </w:tabs>
        <w:spacing w:before="206"/>
        <w:ind w:left="1180"/>
        <w:rPr>
          <w:rFonts w:hint="eastAsia" w:ascii="宋体" w:hAnsi="宋体" w:eastAsia="宋体" w:cs="宋体"/>
          <w:color w:val="auto"/>
          <w:sz w:val="28"/>
          <w:szCs w:val="28"/>
        </w:rPr>
      </w:pPr>
      <w:r>
        <w:rPr>
          <w:rFonts w:hint="eastAsia" w:ascii="宋体" w:hAnsi="宋体" w:eastAsia="宋体" w:cs="宋体"/>
          <w:color w:val="auto"/>
          <w:sz w:val="28"/>
          <w:szCs w:val="28"/>
        </w:rPr>
        <w:t>签订日期：</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rPr>
        <w:tab/>
      </w:r>
      <w:r>
        <w:rPr>
          <w:rFonts w:hint="eastAsia" w:ascii="宋体" w:hAnsi="宋体" w:eastAsia="宋体" w:cs="宋体"/>
          <w:color w:val="auto"/>
          <w:sz w:val="28"/>
          <w:szCs w:val="28"/>
        </w:rPr>
        <w:t>日</w:t>
      </w:r>
    </w:p>
    <w:p w14:paraId="077D45B8">
      <w:pPr>
        <w:rPr>
          <w:rFonts w:hint="eastAsia" w:ascii="宋体" w:hAnsi="宋体" w:eastAsia="宋体" w:cs="宋体"/>
          <w:color w:val="auto"/>
        </w:rPr>
        <w:sectPr>
          <w:pgSz w:w="11910" w:h="16840"/>
          <w:pgMar w:top="1380" w:right="1440" w:bottom="1500" w:left="1580" w:header="877" w:footer="1304" w:gutter="0"/>
          <w:cols w:space="720" w:num="1"/>
        </w:sectPr>
      </w:pPr>
    </w:p>
    <w:p w14:paraId="576B5E39">
      <w:pPr>
        <w:pStyle w:val="12"/>
        <w:spacing w:before="132"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z w:val="21"/>
          <w:szCs w:val="21"/>
          <w:u w:val="single"/>
        </w:rPr>
        <w:t>某采购单位</w:t>
      </w:r>
      <w:r>
        <w:rPr>
          <w:rFonts w:hint="eastAsia" w:ascii="宋体" w:hAnsi="宋体" w:eastAsia="宋体" w:cs="宋体"/>
          <w:color w:val="auto"/>
          <w:sz w:val="21"/>
          <w:szCs w:val="21"/>
        </w:rPr>
        <w:t>（以下简称：甲方）通过</w:t>
      </w:r>
      <w:r>
        <w:rPr>
          <w:rFonts w:hint="eastAsia" w:ascii="宋体" w:hAnsi="宋体" w:eastAsia="宋体" w:cs="宋体"/>
          <w:color w:val="auto"/>
          <w:sz w:val="21"/>
          <w:szCs w:val="21"/>
          <w:u w:val="single"/>
        </w:rPr>
        <w:t>某代理机构</w:t>
      </w:r>
      <w:r>
        <w:rPr>
          <w:rFonts w:hint="eastAsia" w:ascii="宋体" w:hAnsi="宋体" w:eastAsia="宋体" w:cs="宋体"/>
          <w:color w:val="auto"/>
          <w:sz w:val="21"/>
          <w:szCs w:val="21"/>
        </w:rPr>
        <w:t>组织的</w:t>
      </w:r>
      <w:r>
        <w:rPr>
          <w:rFonts w:hint="eastAsia" w:ascii="宋体" w:hAnsi="宋体" w:eastAsia="宋体" w:cs="宋体"/>
          <w:color w:val="auto"/>
          <w:sz w:val="21"/>
          <w:szCs w:val="21"/>
          <w:u w:val="single"/>
        </w:rPr>
        <w:t>竞争性磋商</w:t>
      </w:r>
      <w:r>
        <w:rPr>
          <w:rFonts w:hint="eastAsia" w:ascii="宋体" w:hAnsi="宋体" w:eastAsia="宋体" w:cs="宋体"/>
          <w:color w:val="auto"/>
          <w:sz w:val="21"/>
          <w:szCs w:val="21"/>
        </w:rPr>
        <w:t>方式采购活动，经</w:t>
      </w:r>
      <w:r>
        <w:rPr>
          <w:rFonts w:hint="eastAsia" w:ascii="宋体" w:hAnsi="宋体" w:eastAsia="宋体" w:cs="宋体"/>
          <w:color w:val="auto"/>
          <w:sz w:val="21"/>
          <w:szCs w:val="21"/>
          <w:u w:val="single"/>
        </w:rPr>
        <w:t>磋商小组</w:t>
      </w:r>
      <w:r>
        <w:rPr>
          <w:rFonts w:hint="eastAsia" w:ascii="宋体" w:hAnsi="宋体" w:eastAsia="宋体" w:cs="宋体"/>
          <w:color w:val="auto"/>
          <w:sz w:val="21"/>
          <w:szCs w:val="21"/>
        </w:rPr>
        <w:t>评定，</w:t>
      </w:r>
      <w:r>
        <w:rPr>
          <w:rFonts w:hint="eastAsia" w:ascii="宋体" w:hAnsi="宋体" w:eastAsia="宋体" w:cs="宋体"/>
          <w:color w:val="auto"/>
          <w:sz w:val="21"/>
          <w:szCs w:val="21"/>
          <w:u w:val="single"/>
        </w:rPr>
        <w:t>（中标人名称）</w:t>
      </w:r>
      <w:r>
        <w:rPr>
          <w:rFonts w:hint="eastAsia" w:ascii="宋体" w:hAnsi="宋体" w:eastAsia="宋体" w:cs="宋体"/>
          <w:color w:val="auto"/>
          <w:sz w:val="21"/>
          <w:szCs w:val="21"/>
        </w:rPr>
        <w:t>（以下简称：乙方）为本项目中标人，现按照采购文件确定的事项签订本合同。</w:t>
      </w:r>
    </w:p>
    <w:p w14:paraId="4BAF5C37">
      <w:pPr>
        <w:pStyle w:val="12"/>
        <w:spacing w:before="10" w:line="360" w:lineRule="auto"/>
        <w:ind w:right="359" w:firstLine="434"/>
        <w:jc w:val="both"/>
        <w:rPr>
          <w:rFonts w:hint="eastAsia" w:ascii="宋体" w:hAnsi="宋体" w:eastAsia="宋体" w:cs="宋体"/>
          <w:color w:val="auto"/>
          <w:sz w:val="21"/>
          <w:szCs w:val="21"/>
        </w:rPr>
      </w:pPr>
      <w:r>
        <w:rPr>
          <w:rFonts w:hint="eastAsia" w:ascii="宋体" w:hAnsi="宋体" w:eastAsia="宋体" w:cs="宋体"/>
          <w:color w:val="auto"/>
          <w:sz w:val="21"/>
          <w:szCs w:val="21"/>
        </w:rPr>
        <w:t>根据《中华人民共和国民法典》、《中华人民共和国政府采购法》等相关法律法规之规定，按照平等、自愿、公平和诚实信用的原则，经甲方和乙方协商一致， 约定以下合同条款，以兹共同遵守、全面履行。</w:t>
      </w:r>
    </w:p>
    <w:p w14:paraId="771C0525">
      <w:pPr>
        <w:pStyle w:val="6"/>
        <w:keepNext w:val="0"/>
        <w:keepLines w:val="0"/>
        <w:numPr>
          <w:ilvl w:val="1"/>
          <w:numId w:val="9"/>
        </w:numPr>
        <w:tabs>
          <w:tab w:val="left" w:pos="1142"/>
        </w:tabs>
        <w:autoSpaceDE w:val="0"/>
        <w:autoSpaceDN w:val="0"/>
        <w:spacing w:before="2"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合同组成部分</w:t>
      </w:r>
    </w:p>
    <w:p w14:paraId="1CCDA016">
      <w:pPr>
        <w:pStyle w:val="12"/>
        <w:spacing w:before="161" w:line="360" w:lineRule="auto"/>
        <w:ind w:right="237" w:firstLine="434"/>
        <w:rPr>
          <w:rFonts w:hint="eastAsia" w:ascii="宋体" w:hAnsi="宋体" w:eastAsia="宋体" w:cs="宋体"/>
          <w:color w:val="auto"/>
          <w:sz w:val="21"/>
          <w:szCs w:val="21"/>
        </w:rPr>
      </w:pPr>
      <w:r>
        <w:rPr>
          <w:rFonts w:hint="eastAsia" w:ascii="宋体" w:hAnsi="宋体" w:eastAsia="宋体" w:cs="宋体"/>
          <w:color w:val="auto"/>
          <w:sz w:val="21"/>
          <w:szCs w:val="21"/>
        </w:rPr>
        <w:t>下列文件为本合同的组成部分，并构成一个整体，需综合解释、相互补充。</w:t>
      </w:r>
      <w:r>
        <w:rPr>
          <w:rFonts w:hint="eastAsia" w:ascii="宋体" w:hAnsi="宋体" w:eastAsia="宋体" w:cs="宋体"/>
          <w:color w:val="auto"/>
          <w:spacing w:val="-6"/>
          <w:sz w:val="21"/>
          <w:szCs w:val="21"/>
        </w:rPr>
        <w:t>如果下列文件内容出现不一致的情形，那么在保证按照采购文件确定的事项前提下，组成本合同的多个文件的优先适用顺序如下：</w:t>
      </w:r>
    </w:p>
    <w:p w14:paraId="487C8911">
      <w:pPr>
        <w:pStyle w:val="38"/>
        <w:numPr>
          <w:ilvl w:val="0"/>
          <w:numId w:val="0"/>
        </w:numPr>
        <w:tabs>
          <w:tab w:val="left" w:pos="1315"/>
        </w:tabs>
        <w:spacing w:before="2" w:line="360" w:lineRule="auto"/>
        <w:ind w:leftChars="200"/>
        <w:rPr>
          <w:rFonts w:hint="eastAsia" w:ascii="宋体" w:hAnsi="宋体" w:eastAsia="宋体" w:cs="宋体"/>
          <w:color w:val="auto"/>
          <w:sz w:val="21"/>
          <w:szCs w:val="21"/>
        </w:rPr>
      </w:pPr>
      <w:r>
        <w:rPr>
          <w:rFonts w:hint="eastAsia" w:ascii="宋体" w:hAnsi="宋体" w:eastAsia="宋体" w:cs="宋体"/>
          <w:color w:val="auto"/>
          <w:sz w:val="21"/>
          <w:szCs w:val="21"/>
        </w:rPr>
        <w:t>本合同及其补充合同、变更协议；</w:t>
      </w:r>
    </w:p>
    <w:p w14:paraId="19BB19BE">
      <w:pPr>
        <w:pStyle w:val="38"/>
        <w:numPr>
          <w:ilvl w:val="0"/>
          <w:numId w:val="0"/>
        </w:numPr>
        <w:tabs>
          <w:tab w:val="left" w:pos="1315"/>
        </w:tabs>
        <w:spacing w:before="160" w:line="360" w:lineRule="auto"/>
        <w:ind w:left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1.1.1</w:t>
      </w:r>
      <w:r>
        <w:rPr>
          <w:rFonts w:hint="eastAsia" w:ascii="宋体" w:hAnsi="宋体" w:eastAsia="宋体" w:cs="宋体"/>
          <w:color w:val="auto"/>
          <w:sz w:val="21"/>
          <w:szCs w:val="21"/>
        </w:rPr>
        <w:t>中标通知书；</w:t>
      </w:r>
    </w:p>
    <w:p w14:paraId="7D29AD09">
      <w:pPr>
        <w:pStyle w:val="38"/>
        <w:numPr>
          <w:ilvl w:val="0"/>
          <w:numId w:val="0"/>
        </w:numPr>
        <w:tabs>
          <w:tab w:val="left" w:pos="1315"/>
        </w:tabs>
        <w:spacing w:before="161" w:line="360" w:lineRule="auto"/>
        <w:ind w:left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1.1.2</w:t>
      </w:r>
      <w:r>
        <w:rPr>
          <w:rFonts w:hint="eastAsia" w:ascii="宋体" w:hAnsi="宋体" w:eastAsia="宋体" w:cs="宋体"/>
          <w:color w:val="auto"/>
          <w:sz w:val="21"/>
          <w:szCs w:val="21"/>
        </w:rPr>
        <w:t>响应文件（含澄清或者说明文件</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p>
    <w:p w14:paraId="2E4F3EC7">
      <w:pPr>
        <w:pStyle w:val="38"/>
        <w:numPr>
          <w:ilvl w:val="0"/>
          <w:numId w:val="0"/>
        </w:numPr>
        <w:tabs>
          <w:tab w:val="left" w:pos="1315"/>
        </w:tabs>
        <w:spacing w:before="160" w:line="360" w:lineRule="auto"/>
        <w:ind w:left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1.1.3</w:t>
      </w:r>
      <w:r>
        <w:rPr>
          <w:rFonts w:hint="eastAsia" w:ascii="宋体" w:hAnsi="宋体" w:eastAsia="宋体" w:cs="宋体"/>
          <w:color w:val="auto"/>
          <w:sz w:val="21"/>
          <w:szCs w:val="21"/>
        </w:rPr>
        <w:t>竞争性磋商文件（含澄清或者修改文件</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p>
    <w:p w14:paraId="2D236DCF">
      <w:pPr>
        <w:pStyle w:val="38"/>
        <w:numPr>
          <w:ilvl w:val="0"/>
          <w:numId w:val="0"/>
        </w:numPr>
        <w:tabs>
          <w:tab w:val="left" w:pos="1315"/>
        </w:tabs>
        <w:spacing w:before="161" w:line="360" w:lineRule="auto"/>
        <w:ind w:left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1.1.4</w:t>
      </w:r>
      <w:r>
        <w:rPr>
          <w:rFonts w:hint="eastAsia" w:ascii="宋体" w:hAnsi="宋体" w:eastAsia="宋体" w:cs="宋体"/>
          <w:color w:val="auto"/>
          <w:sz w:val="21"/>
          <w:szCs w:val="21"/>
        </w:rPr>
        <w:t>其他相关采购文件。</w:t>
      </w:r>
    </w:p>
    <w:p w14:paraId="2BFE3D88">
      <w:pPr>
        <w:pStyle w:val="6"/>
        <w:keepNext w:val="0"/>
        <w:keepLines w:val="0"/>
        <w:numPr>
          <w:ilvl w:val="1"/>
          <w:numId w:val="9"/>
        </w:numPr>
        <w:tabs>
          <w:tab w:val="left" w:pos="1142"/>
        </w:tabs>
        <w:autoSpaceDE w:val="0"/>
        <w:autoSpaceDN w:val="0"/>
        <w:spacing w:before="161"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服务</w:t>
      </w:r>
    </w:p>
    <w:p w14:paraId="696E86A2">
      <w:pPr>
        <w:pStyle w:val="38"/>
        <w:numPr>
          <w:ilvl w:val="0"/>
          <w:numId w:val="0"/>
        </w:numPr>
        <w:tabs>
          <w:tab w:val="left" w:pos="1315"/>
          <w:tab w:val="left" w:pos="8276"/>
        </w:tabs>
        <w:spacing w:before="160" w:line="360" w:lineRule="auto"/>
        <w:ind w:leftChars="200"/>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1.2.1</w:t>
      </w:r>
      <w:r>
        <w:rPr>
          <w:rFonts w:hint="eastAsia" w:ascii="宋体" w:hAnsi="宋体" w:eastAsia="宋体" w:cs="宋体"/>
          <w:color w:val="auto"/>
          <w:sz w:val="21"/>
          <w:szCs w:val="21"/>
        </w:rPr>
        <w:t>服务名称：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2B97F3E4">
      <w:pPr>
        <w:pStyle w:val="38"/>
        <w:numPr>
          <w:ilvl w:val="0"/>
          <w:numId w:val="0"/>
        </w:numPr>
        <w:tabs>
          <w:tab w:val="left" w:pos="1315"/>
          <w:tab w:val="left" w:pos="8276"/>
        </w:tabs>
        <w:spacing w:before="161" w:line="360" w:lineRule="auto"/>
        <w:ind w:leftChars="200"/>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1.2.2</w:t>
      </w:r>
      <w:r>
        <w:rPr>
          <w:rFonts w:hint="eastAsia" w:ascii="宋体" w:hAnsi="宋体" w:eastAsia="宋体" w:cs="宋体"/>
          <w:color w:val="auto"/>
          <w:sz w:val="21"/>
          <w:szCs w:val="21"/>
        </w:rPr>
        <w:t>服务内容：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1B22EE3D">
      <w:pPr>
        <w:pStyle w:val="38"/>
        <w:numPr>
          <w:ilvl w:val="0"/>
          <w:numId w:val="0"/>
        </w:numPr>
        <w:tabs>
          <w:tab w:val="left" w:pos="1315"/>
          <w:tab w:val="left" w:pos="8276"/>
        </w:tabs>
        <w:spacing w:before="160" w:line="360" w:lineRule="auto"/>
        <w:ind w:leftChars="200"/>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1.2.3</w:t>
      </w:r>
      <w:r>
        <w:rPr>
          <w:rFonts w:hint="eastAsia" w:ascii="宋体" w:hAnsi="宋体" w:eastAsia="宋体" w:cs="宋体"/>
          <w:color w:val="auto"/>
          <w:sz w:val="21"/>
          <w:szCs w:val="21"/>
        </w:rPr>
        <w:t>服务质量：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518C3BC6">
      <w:pPr>
        <w:pStyle w:val="6"/>
        <w:keepNext w:val="0"/>
        <w:keepLines w:val="0"/>
        <w:numPr>
          <w:ilvl w:val="1"/>
          <w:numId w:val="9"/>
        </w:numPr>
        <w:tabs>
          <w:tab w:val="left" w:pos="1142"/>
        </w:tabs>
        <w:autoSpaceDE w:val="0"/>
        <w:autoSpaceDN w:val="0"/>
        <w:spacing w:before="161"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价款</w:t>
      </w:r>
    </w:p>
    <w:p w14:paraId="6E32D268">
      <w:pPr>
        <w:pStyle w:val="12"/>
        <w:tabs>
          <w:tab w:val="left" w:pos="3895"/>
          <w:tab w:val="left" w:pos="7856"/>
        </w:tabs>
        <w:spacing w:before="160" w:line="360" w:lineRule="auto"/>
        <w:ind w:left="654" w:right="428"/>
        <w:rPr>
          <w:rFonts w:hint="eastAsia" w:ascii="宋体" w:hAnsi="宋体" w:eastAsia="宋体" w:cs="宋体"/>
          <w:color w:val="auto"/>
          <w:sz w:val="21"/>
          <w:szCs w:val="21"/>
        </w:rPr>
      </w:pPr>
      <w:r>
        <w:rPr>
          <w:rFonts w:hint="eastAsia" w:ascii="宋体" w:hAnsi="宋体" w:eastAsia="宋体" w:cs="宋体"/>
          <w:color w:val="auto"/>
          <w:sz w:val="21"/>
          <w:szCs w:val="21"/>
        </w:rPr>
        <w:t>本合同总价为：￥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元（大写：人民币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元</w:t>
      </w:r>
      <w:r>
        <w:rPr>
          <w:rFonts w:hint="eastAsia" w:ascii="宋体" w:hAnsi="宋体" w:eastAsia="宋体" w:cs="宋体"/>
          <w:color w:val="auto"/>
          <w:spacing w:val="-120"/>
          <w:sz w:val="21"/>
          <w:szCs w:val="21"/>
        </w:rPr>
        <w:t>）</w:t>
      </w:r>
      <w:r>
        <w:rPr>
          <w:rFonts w:hint="eastAsia" w:ascii="宋体" w:hAnsi="宋体" w:eastAsia="宋体" w:cs="宋体"/>
          <w:color w:val="auto"/>
          <w:spacing w:val="-18"/>
          <w:sz w:val="21"/>
          <w:szCs w:val="21"/>
        </w:rPr>
        <w:t>。</w:t>
      </w:r>
      <w:r>
        <w:rPr>
          <w:rFonts w:hint="eastAsia" w:ascii="宋体" w:hAnsi="宋体" w:eastAsia="宋体" w:cs="宋体"/>
          <w:color w:val="auto"/>
          <w:sz w:val="21"/>
          <w:szCs w:val="21"/>
        </w:rPr>
        <w:t>分项价格：</w:t>
      </w:r>
    </w:p>
    <w:tbl>
      <w:tblPr>
        <w:tblStyle w:val="24"/>
        <w:tblW w:w="85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8"/>
        <w:gridCol w:w="4317"/>
        <w:gridCol w:w="3239"/>
      </w:tblGrid>
      <w:tr w14:paraId="243B0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6CE6D86F">
            <w:pPr>
              <w:pStyle w:val="37"/>
              <w:spacing w:before="28"/>
              <w:ind w:left="217" w:right="211"/>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序号</w:t>
            </w:r>
          </w:p>
        </w:tc>
        <w:tc>
          <w:tcPr>
            <w:tcW w:w="4317" w:type="dxa"/>
            <w:noWrap w:val="0"/>
            <w:vAlign w:val="top"/>
          </w:tcPr>
          <w:p w14:paraId="46D8CFDC">
            <w:pPr>
              <w:pStyle w:val="37"/>
              <w:spacing w:before="28"/>
              <w:ind w:left="1755" w:right="1551"/>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分项名称</w:t>
            </w:r>
          </w:p>
        </w:tc>
        <w:tc>
          <w:tcPr>
            <w:tcW w:w="3239" w:type="dxa"/>
            <w:noWrap w:val="0"/>
            <w:vAlign w:val="top"/>
          </w:tcPr>
          <w:p w14:paraId="5A223567">
            <w:pPr>
              <w:pStyle w:val="37"/>
              <w:spacing w:before="28"/>
              <w:ind w:left="1116" w:right="1113"/>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分项价格</w:t>
            </w:r>
          </w:p>
        </w:tc>
      </w:tr>
      <w:tr w14:paraId="13B06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5B7E8265">
            <w:pPr>
              <w:pStyle w:val="37"/>
              <w:spacing w:line="307" w:lineRule="exact"/>
              <w:ind w:left="6"/>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1</w:t>
            </w:r>
          </w:p>
        </w:tc>
        <w:tc>
          <w:tcPr>
            <w:tcW w:w="4317" w:type="dxa"/>
            <w:noWrap w:val="0"/>
            <w:vAlign w:val="top"/>
          </w:tcPr>
          <w:p w14:paraId="6F4067DF">
            <w:pPr>
              <w:pStyle w:val="37"/>
              <w:rPr>
                <w:rFonts w:hint="eastAsia" w:ascii="宋体" w:hAnsi="宋体" w:eastAsia="宋体" w:cs="宋体"/>
                <w:color w:val="auto"/>
                <w:lang w:eastAsia="en-US"/>
              </w:rPr>
            </w:pPr>
          </w:p>
        </w:tc>
        <w:tc>
          <w:tcPr>
            <w:tcW w:w="3239" w:type="dxa"/>
            <w:noWrap w:val="0"/>
            <w:vAlign w:val="top"/>
          </w:tcPr>
          <w:p w14:paraId="26198482">
            <w:pPr>
              <w:pStyle w:val="37"/>
              <w:rPr>
                <w:rFonts w:hint="eastAsia" w:ascii="宋体" w:hAnsi="宋体" w:eastAsia="宋体" w:cs="宋体"/>
                <w:color w:val="auto"/>
                <w:lang w:eastAsia="en-US"/>
              </w:rPr>
            </w:pPr>
          </w:p>
        </w:tc>
      </w:tr>
      <w:tr w14:paraId="0E28C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13E4C023">
            <w:pPr>
              <w:pStyle w:val="37"/>
              <w:ind w:left="6"/>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2</w:t>
            </w:r>
          </w:p>
        </w:tc>
        <w:tc>
          <w:tcPr>
            <w:tcW w:w="4317" w:type="dxa"/>
            <w:noWrap w:val="0"/>
            <w:vAlign w:val="top"/>
          </w:tcPr>
          <w:p w14:paraId="1D859145">
            <w:pPr>
              <w:pStyle w:val="37"/>
              <w:rPr>
                <w:rFonts w:hint="eastAsia" w:ascii="宋体" w:hAnsi="宋体" w:eastAsia="宋体" w:cs="宋体"/>
                <w:color w:val="auto"/>
                <w:lang w:eastAsia="en-US"/>
              </w:rPr>
            </w:pPr>
          </w:p>
        </w:tc>
        <w:tc>
          <w:tcPr>
            <w:tcW w:w="3239" w:type="dxa"/>
            <w:noWrap w:val="0"/>
            <w:vAlign w:val="top"/>
          </w:tcPr>
          <w:p w14:paraId="4384794E">
            <w:pPr>
              <w:pStyle w:val="37"/>
              <w:rPr>
                <w:rFonts w:hint="eastAsia" w:ascii="宋体" w:hAnsi="宋体" w:eastAsia="宋体" w:cs="宋体"/>
                <w:color w:val="auto"/>
                <w:lang w:eastAsia="en-US"/>
              </w:rPr>
            </w:pPr>
          </w:p>
        </w:tc>
      </w:tr>
      <w:tr w14:paraId="74C6A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39C108D3">
            <w:pPr>
              <w:pStyle w:val="37"/>
              <w:spacing w:line="307" w:lineRule="exact"/>
              <w:ind w:left="6"/>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3</w:t>
            </w:r>
          </w:p>
        </w:tc>
        <w:tc>
          <w:tcPr>
            <w:tcW w:w="4317" w:type="dxa"/>
            <w:noWrap w:val="0"/>
            <w:vAlign w:val="top"/>
          </w:tcPr>
          <w:p w14:paraId="58CA416D">
            <w:pPr>
              <w:pStyle w:val="37"/>
              <w:rPr>
                <w:rFonts w:hint="eastAsia" w:ascii="宋体" w:hAnsi="宋体" w:eastAsia="宋体" w:cs="宋体"/>
                <w:color w:val="auto"/>
                <w:lang w:eastAsia="en-US"/>
              </w:rPr>
            </w:pPr>
          </w:p>
        </w:tc>
        <w:tc>
          <w:tcPr>
            <w:tcW w:w="3239" w:type="dxa"/>
            <w:noWrap w:val="0"/>
            <w:vAlign w:val="top"/>
          </w:tcPr>
          <w:p w14:paraId="5103563B">
            <w:pPr>
              <w:pStyle w:val="37"/>
              <w:rPr>
                <w:rFonts w:hint="eastAsia" w:ascii="宋体" w:hAnsi="宋体" w:eastAsia="宋体" w:cs="宋体"/>
                <w:color w:val="auto"/>
                <w:lang w:eastAsia="en-US"/>
              </w:rPr>
            </w:pPr>
          </w:p>
        </w:tc>
      </w:tr>
      <w:tr w14:paraId="600E5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58" w:type="dxa"/>
            <w:noWrap w:val="0"/>
            <w:vAlign w:val="top"/>
          </w:tcPr>
          <w:p w14:paraId="5035E1EC">
            <w:pPr>
              <w:pStyle w:val="37"/>
              <w:spacing w:line="307" w:lineRule="exact"/>
              <w:ind w:left="217" w:right="211"/>
              <w:jc w:val="center"/>
              <w:rPr>
                <w:rFonts w:hint="eastAsia" w:ascii="宋体" w:hAnsi="宋体" w:eastAsia="宋体" w:cs="宋体"/>
                <w:color w:val="auto"/>
                <w:sz w:val="24"/>
                <w:lang w:eastAsia="en-US"/>
              </w:rPr>
            </w:pPr>
            <w:r>
              <w:rPr>
                <w:rFonts w:hint="eastAsia" w:ascii="宋体" w:hAnsi="宋体" w:eastAsia="宋体" w:cs="宋体"/>
                <w:color w:val="auto"/>
                <w:w w:val="200"/>
                <w:sz w:val="24"/>
                <w:lang w:eastAsia="en-US"/>
              </w:rPr>
              <w:t>„„</w:t>
            </w:r>
          </w:p>
        </w:tc>
        <w:tc>
          <w:tcPr>
            <w:tcW w:w="4317" w:type="dxa"/>
            <w:noWrap w:val="0"/>
            <w:vAlign w:val="top"/>
          </w:tcPr>
          <w:p w14:paraId="3D430A7F">
            <w:pPr>
              <w:pStyle w:val="37"/>
              <w:rPr>
                <w:rFonts w:hint="eastAsia" w:ascii="宋体" w:hAnsi="宋体" w:eastAsia="宋体" w:cs="宋体"/>
                <w:color w:val="auto"/>
                <w:lang w:eastAsia="en-US"/>
              </w:rPr>
            </w:pPr>
          </w:p>
        </w:tc>
        <w:tc>
          <w:tcPr>
            <w:tcW w:w="3239" w:type="dxa"/>
            <w:noWrap w:val="0"/>
            <w:vAlign w:val="top"/>
          </w:tcPr>
          <w:p w14:paraId="290941CB">
            <w:pPr>
              <w:pStyle w:val="37"/>
              <w:rPr>
                <w:rFonts w:hint="eastAsia" w:ascii="宋体" w:hAnsi="宋体" w:eastAsia="宋体" w:cs="宋体"/>
                <w:color w:val="auto"/>
                <w:lang w:eastAsia="en-US"/>
              </w:rPr>
            </w:pPr>
          </w:p>
        </w:tc>
      </w:tr>
      <w:tr w14:paraId="3487B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5275" w:type="dxa"/>
            <w:gridSpan w:val="2"/>
            <w:noWrap w:val="0"/>
            <w:vAlign w:val="top"/>
          </w:tcPr>
          <w:p w14:paraId="25FA43E5">
            <w:pPr>
              <w:pStyle w:val="37"/>
              <w:spacing w:before="28"/>
              <w:ind w:left="2481" w:right="2264"/>
              <w:jc w:val="center"/>
              <w:rPr>
                <w:rFonts w:hint="eastAsia" w:ascii="宋体" w:hAnsi="宋体" w:eastAsia="宋体" w:cs="宋体"/>
                <w:color w:val="auto"/>
                <w:sz w:val="24"/>
                <w:lang w:eastAsia="en-US"/>
              </w:rPr>
            </w:pPr>
            <w:r>
              <w:rPr>
                <w:rFonts w:hint="eastAsia" w:ascii="宋体" w:hAnsi="宋体" w:eastAsia="宋体" w:cs="宋体"/>
                <w:color w:val="auto"/>
                <w:sz w:val="24"/>
                <w:lang w:eastAsia="en-US"/>
              </w:rPr>
              <w:t>总价</w:t>
            </w:r>
          </w:p>
        </w:tc>
        <w:tc>
          <w:tcPr>
            <w:tcW w:w="3239" w:type="dxa"/>
            <w:tcBorders>
              <w:right w:val="single" w:color="000000" w:sz="6" w:space="0"/>
            </w:tcBorders>
            <w:noWrap w:val="0"/>
            <w:vAlign w:val="top"/>
          </w:tcPr>
          <w:p w14:paraId="19D66307">
            <w:pPr>
              <w:pStyle w:val="37"/>
              <w:rPr>
                <w:rFonts w:hint="eastAsia" w:ascii="宋体" w:hAnsi="宋体" w:eastAsia="宋体" w:cs="宋体"/>
                <w:color w:val="auto"/>
                <w:lang w:eastAsia="en-US"/>
              </w:rPr>
            </w:pPr>
          </w:p>
        </w:tc>
      </w:tr>
    </w:tbl>
    <w:p w14:paraId="7228D846">
      <w:pPr>
        <w:pStyle w:val="12"/>
        <w:spacing w:line="360" w:lineRule="auto"/>
        <w:rPr>
          <w:rFonts w:hint="eastAsia" w:ascii="宋体" w:hAnsi="宋体" w:eastAsia="宋体" w:cs="宋体"/>
          <w:color w:val="auto"/>
          <w:sz w:val="21"/>
          <w:szCs w:val="21"/>
        </w:rPr>
      </w:pPr>
    </w:p>
    <w:p w14:paraId="5BE003A8">
      <w:pPr>
        <w:pStyle w:val="12"/>
        <w:spacing w:before="6" w:line="360" w:lineRule="auto"/>
        <w:rPr>
          <w:rFonts w:hint="eastAsia" w:ascii="宋体" w:hAnsi="宋体" w:eastAsia="宋体" w:cs="宋体"/>
          <w:color w:val="auto"/>
          <w:sz w:val="21"/>
          <w:szCs w:val="21"/>
        </w:rPr>
      </w:pPr>
    </w:p>
    <w:p w14:paraId="6274181D">
      <w:pPr>
        <w:pStyle w:val="6"/>
        <w:keepNext w:val="0"/>
        <w:keepLines w:val="0"/>
        <w:numPr>
          <w:ilvl w:val="1"/>
          <w:numId w:val="9"/>
        </w:numPr>
        <w:tabs>
          <w:tab w:val="left" w:pos="1142"/>
        </w:tabs>
        <w:autoSpaceDE w:val="0"/>
        <w:autoSpaceDN w:val="0"/>
        <w:spacing w:before="0"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付款方式和发票开具方式</w:t>
      </w:r>
    </w:p>
    <w:p w14:paraId="48F1412F">
      <w:pPr>
        <w:pStyle w:val="38"/>
        <w:numPr>
          <w:ilvl w:val="0"/>
          <w:numId w:val="0"/>
        </w:numPr>
        <w:tabs>
          <w:tab w:val="left" w:pos="1315"/>
          <w:tab w:val="left" w:pos="8276"/>
        </w:tabs>
        <w:spacing w:before="161" w:line="360" w:lineRule="auto"/>
        <w:ind w:leftChars="200"/>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1.4.1</w:t>
      </w:r>
      <w:r>
        <w:rPr>
          <w:rFonts w:hint="eastAsia" w:ascii="宋体" w:hAnsi="宋体" w:eastAsia="宋体" w:cs="宋体"/>
          <w:color w:val="auto"/>
          <w:sz w:val="21"/>
          <w:szCs w:val="21"/>
        </w:rPr>
        <w:t>付款方式：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1310D1F4">
      <w:pPr>
        <w:pStyle w:val="38"/>
        <w:numPr>
          <w:ilvl w:val="0"/>
          <w:numId w:val="0"/>
        </w:numPr>
        <w:tabs>
          <w:tab w:val="left" w:pos="1315"/>
          <w:tab w:val="left" w:pos="8276"/>
        </w:tabs>
        <w:spacing w:before="132" w:line="360" w:lineRule="auto"/>
        <w:ind w:leftChars="200"/>
        <w:jc w:val="both"/>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1.4.2</w:t>
      </w:r>
      <w:r>
        <w:rPr>
          <w:rFonts w:hint="eastAsia" w:ascii="宋体" w:hAnsi="宋体" w:eastAsia="宋体" w:cs="宋体"/>
          <w:color w:val="auto"/>
          <w:sz w:val="21"/>
          <w:szCs w:val="21"/>
        </w:rPr>
        <w:t>发票开具方式：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090668F7">
      <w:pPr>
        <w:pStyle w:val="6"/>
        <w:keepNext w:val="0"/>
        <w:keepLines w:val="0"/>
        <w:numPr>
          <w:ilvl w:val="1"/>
          <w:numId w:val="9"/>
        </w:numPr>
        <w:tabs>
          <w:tab w:val="left" w:pos="1142"/>
        </w:tabs>
        <w:autoSpaceDE w:val="0"/>
        <w:autoSpaceDN w:val="0"/>
        <w:spacing w:before="160"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服务期限、地点和方式</w:t>
      </w:r>
    </w:p>
    <w:p w14:paraId="44CEAD8B">
      <w:pPr>
        <w:pStyle w:val="38"/>
        <w:numPr>
          <w:ilvl w:val="0"/>
          <w:numId w:val="0"/>
        </w:numPr>
        <w:tabs>
          <w:tab w:val="left" w:pos="1315"/>
          <w:tab w:val="left" w:pos="8276"/>
        </w:tabs>
        <w:spacing w:before="161" w:line="360" w:lineRule="auto"/>
        <w:ind w:leftChars="200"/>
        <w:jc w:val="both"/>
        <w:rPr>
          <w:rFonts w:hint="eastAsia" w:ascii="宋体" w:hAnsi="宋体" w:eastAsia="宋体" w:cs="宋体"/>
          <w:color w:val="auto"/>
          <w:sz w:val="21"/>
          <w:szCs w:val="21"/>
        </w:rPr>
      </w:pPr>
      <w:r>
        <w:rPr>
          <w:rFonts w:hint="eastAsia" w:ascii="宋体" w:hAnsi="宋体" w:eastAsia="宋体" w:cs="宋体"/>
          <w:color w:val="auto"/>
          <w:sz w:val="22"/>
          <w:szCs w:val="22"/>
          <w:lang w:val="en-US" w:eastAsia="zh-CN"/>
        </w:rPr>
        <w:t>1.5.1</w:t>
      </w:r>
      <w:r>
        <w:rPr>
          <w:rFonts w:hint="eastAsia" w:ascii="宋体" w:hAnsi="宋体" w:eastAsia="宋体" w:cs="宋体"/>
          <w:color w:val="auto"/>
          <w:sz w:val="21"/>
          <w:szCs w:val="21"/>
        </w:rPr>
        <w:t>服务期限：</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3E7E7035">
      <w:pPr>
        <w:pStyle w:val="38"/>
        <w:numPr>
          <w:ilvl w:val="0"/>
          <w:numId w:val="0"/>
        </w:numPr>
        <w:tabs>
          <w:tab w:val="left" w:pos="1315"/>
          <w:tab w:val="left" w:pos="8276"/>
        </w:tabs>
        <w:spacing w:before="160" w:line="360" w:lineRule="auto"/>
        <w:ind w:left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1.5.2</w:t>
      </w:r>
      <w:r>
        <w:rPr>
          <w:rFonts w:hint="eastAsia" w:ascii="宋体" w:hAnsi="宋体" w:eastAsia="宋体" w:cs="宋体"/>
          <w:color w:val="auto"/>
          <w:sz w:val="21"/>
          <w:szCs w:val="21"/>
        </w:rPr>
        <w:t>服务地点：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5F575B17">
      <w:pPr>
        <w:pStyle w:val="38"/>
        <w:numPr>
          <w:ilvl w:val="0"/>
          <w:numId w:val="0"/>
        </w:numPr>
        <w:tabs>
          <w:tab w:val="left" w:pos="1315"/>
          <w:tab w:val="left" w:pos="8276"/>
        </w:tabs>
        <w:spacing w:before="161" w:line="360" w:lineRule="auto"/>
        <w:ind w:left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1.5.3</w:t>
      </w:r>
      <w:r>
        <w:rPr>
          <w:rFonts w:hint="eastAsia" w:ascii="宋体" w:hAnsi="宋体" w:eastAsia="宋体" w:cs="宋体"/>
          <w:color w:val="auto"/>
          <w:sz w:val="21"/>
          <w:szCs w:val="21"/>
        </w:rPr>
        <w:t>服务方式：</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w:t>
      </w:r>
    </w:p>
    <w:p w14:paraId="40498B42">
      <w:pPr>
        <w:pStyle w:val="6"/>
        <w:keepNext w:val="0"/>
        <w:keepLines w:val="0"/>
        <w:numPr>
          <w:ilvl w:val="1"/>
          <w:numId w:val="9"/>
        </w:numPr>
        <w:tabs>
          <w:tab w:val="left" w:pos="1142"/>
        </w:tabs>
        <w:autoSpaceDE w:val="0"/>
        <w:autoSpaceDN w:val="0"/>
        <w:spacing w:before="160"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违约责任</w:t>
      </w:r>
    </w:p>
    <w:p w14:paraId="331EFE3A">
      <w:pPr>
        <w:pStyle w:val="38"/>
        <w:numPr>
          <w:ilvl w:val="2"/>
          <w:numId w:val="9"/>
        </w:numPr>
        <w:tabs>
          <w:tab w:val="left" w:pos="1327"/>
        </w:tabs>
        <w:spacing w:before="161" w:line="360" w:lineRule="auto"/>
        <w:ind w:left="220" w:right="356"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除不可抗力外，如果乙方没有按照本合同约定的期限、地点和方式履</w:t>
      </w:r>
      <w:r>
        <w:rPr>
          <w:rFonts w:hint="eastAsia" w:ascii="宋体" w:hAnsi="宋体" w:eastAsia="宋体" w:cs="宋体"/>
          <w:color w:val="auto"/>
          <w:spacing w:val="-11"/>
          <w:sz w:val="21"/>
          <w:szCs w:val="21"/>
        </w:rPr>
        <w:t>行，那么甲方可要求乙方支付违约金，违约金按每迟延履行一日的应提供而未提</w:t>
      </w:r>
      <w:r>
        <w:rPr>
          <w:rFonts w:hint="eastAsia" w:ascii="宋体" w:hAnsi="宋体" w:eastAsia="宋体" w:cs="宋体"/>
          <w:color w:val="auto"/>
          <w:sz w:val="21"/>
          <w:szCs w:val="21"/>
        </w:rPr>
        <w:t>供服务价格的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rPr>
        <w:t>0.1</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%计算，最高限额为本合同总价的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rPr>
        <w:t>1</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%；迟延履行的违约金</w:t>
      </w:r>
      <w:r>
        <w:rPr>
          <w:rFonts w:hint="eastAsia" w:ascii="宋体" w:hAnsi="宋体" w:eastAsia="宋体" w:cs="宋体"/>
          <w:color w:val="auto"/>
          <w:spacing w:val="-7"/>
          <w:sz w:val="21"/>
          <w:szCs w:val="21"/>
        </w:rPr>
        <w:t>计算数额达到前述最高限额之日起，甲方有权在要求乙方支付违约金的同时，书</w:t>
      </w:r>
      <w:r>
        <w:rPr>
          <w:rFonts w:hint="eastAsia" w:ascii="宋体" w:hAnsi="宋体" w:eastAsia="宋体" w:cs="宋体"/>
          <w:color w:val="auto"/>
          <w:sz w:val="21"/>
          <w:szCs w:val="21"/>
        </w:rPr>
        <w:t>面通知乙方解除本合同；</w:t>
      </w:r>
    </w:p>
    <w:p w14:paraId="3E6732CA">
      <w:pPr>
        <w:pStyle w:val="38"/>
        <w:numPr>
          <w:ilvl w:val="2"/>
          <w:numId w:val="9"/>
        </w:numPr>
        <w:tabs>
          <w:tab w:val="left" w:pos="1327"/>
        </w:tabs>
        <w:spacing w:before="3" w:line="360" w:lineRule="auto"/>
        <w:ind w:left="220"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除不可抗力外，如果甲方没有按照本合同约定的付款方式付款，那么</w:t>
      </w:r>
      <w:r>
        <w:rPr>
          <w:rFonts w:hint="eastAsia" w:ascii="宋体" w:hAnsi="宋体" w:eastAsia="宋体" w:cs="宋体"/>
          <w:color w:val="auto"/>
          <w:sz w:val="21"/>
          <w:szCs w:val="21"/>
        </w:rPr>
        <w:t>乙方可要求甲方支付违约金，违约金按每迟延付款一日的应付而未付款的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rPr>
        <w:t>0.1</w:t>
      </w:r>
      <w:r>
        <w:rPr>
          <w:rFonts w:hint="eastAsia" w:ascii="宋体" w:hAnsi="宋体" w:eastAsia="宋体" w:cs="宋体"/>
          <w:color w:val="auto"/>
          <w:spacing w:val="2"/>
          <w:sz w:val="21"/>
          <w:szCs w:val="21"/>
        </w:rPr>
        <w:t xml:space="preserve"> % </w:t>
      </w:r>
      <w:r>
        <w:rPr>
          <w:rFonts w:hint="eastAsia" w:ascii="宋体" w:hAnsi="宋体" w:eastAsia="宋体" w:cs="宋体"/>
          <w:color w:val="auto"/>
          <w:spacing w:val="-7"/>
          <w:sz w:val="21"/>
          <w:szCs w:val="21"/>
        </w:rPr>
        <w:t>计算，最高限额为本合同总价的</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rPr>
        <w:t>1</w:t>
      </w:r>
      <w:r>
        <w:rPr>
          <w:rFonts w:hint="eastAsia" w:ascii="宋体" w:hAnsi="宋体" w:eastAsia="宋体" w:cs="宋体"/>
          <w:color w:val="auto"/>
          <w:sz w:val="21"/>
          <w:szCs w:val="21"/>
          <w:u w:val="single"/>
        </w:rPr>
        <w:t xml:space="preserve"> </w:t>
      </w:r>
      <w:r>
        <w:rPr>
          <w:rFonts w:hint="eastAsia" w:ascii="宋体" w:hAnsi="宋体" w:eastAsia="宋体" w:cs="宋体"/>
          <w:color w:val="auto"/>
          <w:spacing w:val="-1"/>
          <w:sz w:val="21"/>
          <w:szCs w:val="21"/>
        </w:rPr>
        <w:t xml:space="preserve"> %；迟延付款的违约金计算数额达到前述最</w:t>
      </w:r>
      <w:r>
        <w:rPr>
          <w:rFonts w:hint="eastAsia" w:ascii="宋体" w:hAnsi="宋体" w:eastAsia="宋体" w:cs="宋体"/>
          <w:color w:val="auto"/>
          <w:spacing w:val="-10"/>
          <w:sz w:val="21"/>
          <w:szCs w:val="21"/>
        </w:rPr>
        <w:t>高限额之日起，乙方有权在要求甲方支付违约金的同时，书面通知甲方解除本合</w:t>
      </w:r>
      <w:r>
        <w:rPr>
          <w:rFonts w:hint="eastAsia" w:ascii="宋体" w:hAnsi="宋体" w:eastAsia="宋体" w:cs="宋体"/>
          <w:color w:val="auto"/>
          <w:sz w:val="21"/>
          <w:szCs w:val="21"/>
        </w:rPr>
        <w:t>同；</w:t>
      </w:r>
    </w:p>
    <w:p w14:paraId="639EF196">
      <w:pPr>
        <w:pStyle w:val="38"/>
        <w:numPr>
          <w:ilvl w:val="2"/>
          <w:numId w:val="9"/>
        </w:numPr>
        <w:tabs>
          <w:tab w:val="left" w:pos="1327"/>
        </w:tabs>
        <w:spacing w:before="4" w:line="360" w:lineRule="auto"/>
        <w:ind w:left="220" w:right="117" w:firstLine="434"/>
        <w:rPr>
          <w:rFonts w:hint="eastAsia" w:ascii="宋体" w:hAnsi="宋体" w:eastAsia="宋体" w:cs="宋体"/>
          <w:color w:val="auto"/>
          <w:sz w:val="21"/>
          <w:szCs w:val="21"/>
        </w:rPr>
      </w:pPr>
      <w:r>
        <w:rPr>
          <w:rFonts w:hint="eastAsia" w:ascii="宋体" w:hAnsi="宋体" w:eastAsia="宋体" w:cs="宋体"/>
          <w:color w:val="auto"/>
          <w:sz w:val="21"/>
          <w:szCs w:val="21"/>
        </w:rPr>
        <w:t xml:space="preserve">除不可抗力外，任何一方未能履行本合同约定的其他主要义务，经催 </w:t>
      </w:r>
      <w:r>
        <w:rPr>
          <w:rFonts w:hint="eastAsia" w:ascii="宋体" w:hAnsi="宋体" w:eastAsia="宋体" w:cs="宋体"/>
          <w:color w:val="auto"/>
          <w:spacing w:val="-7"/>
          <w:sz w:val="21"/>
          <w:szCs w:val="21"/>
        </w:rPr>
        <w:t xml:space="preserve">告后在合理期限内仍未履行的，或者任何一方有其他违约行为致使不能实现合同 </w:t>
      </w:r>
      <w:r>
        <w:rPr>
          <w:rFonts w:hint="eastAsia" w:ascii="宋体" w:hAnsi="宋体" w:eastAsia="宋体" w:cs="宋体"/>
          <w:color w:val="auto"/>
          <w:spacing w:val="-10"/>
          <w:sz w:val="21"/>
          <w:szCs w:val="21"/>
        </w:rPr>
        <w:t>目的的，或者任何一方有腐败行为</w:t>
      </w:r>
      <w:r>
        <w:rPr>
          <w:rFonts w:hint="eastAsia" w:ascii="宋体" w:hAnsi="宋体" w:eastAsia="宋体" w:cs="宋体"/>
          <w:color w:val="auto"/>
          <w:sz w:val="21"/>
          <w:szCs w:val="21"/>
        </w:rPr>
        <w:t>（</w:t>
      </w:r>
      <w:r>
        <w:rPr>
          <w:rFonts w:hint="eastAsia" w:ascii="宋体" w:hAnsi="宋体" w:eastAsia="宋体" w:cs="宋体"/>
          <w:color w:val="auto"/>
          <w:spacing w:val="-6"/>
          <w:sz w:val="21"/>
          <w:szCs w:val="21"/>
        </w:rPr>
        <w:t xml:space="preserve">即：提供或给予或接受或索取任何财物或其 </w:t>
      </w:r>
      <w:r>
        <w:rPr>
          <w:rFonts w:hint="eastAsia" w:ascii="宋体" w:hAnsi="宋体" w:eastAsia="宋体" w:cs="宋体"/>
          <w:color w:val="auto"/>
          <w:spacing w:val="-10"/>
          <w:sz w:val="21"/>
          <w:szCs w:val="21"/>
        </w:rPr>
        <w:t>他好处或者采取其他不正当手段影响对方当事人在合同签订、履行过程中的行为</w:t>
      </w:r>
      <w:r>
        <w:rPr>
          <w:rFonts w:hint="eastAsia" w:ascii="宋体" w:hAnsi="宋体" w:eastAsia="宋体" w:cs="宋体"/>
          <w:color w:val="auto"/>
          <w:spacing w:val="-17"/>
          <w:sz w:val="21"/>
          <w:szCs w:val="21"/>
        </w:rPr>
        <w:t xml:space="preserve">） </w:t>
      </w:r>
      <w:r>
        <w:rPr>
          <w:rFonts w:hint="eastAsia" w:ascii="宋体" w:hAnsi="宋体" w:eastAsia="宋体" w:cs="宋体"/>
          <w:color w:val="auto"/>
          <w:spacing w:val="-8"/>
          <w:sz w:val="21"/>
          <w:szCs w:val="21"/>
        </w:rPr>
        <w:t>或者欺诈行为</w:t>
      </w:r>
      <w:r>
        <w:rPr>
          <w:rFonts w:hint="eastAsia" w:ascii="宋体" w:hAnsi="宋体" w:eastAsia="宋体" w:cs="宋体"/>
          <w:color w:val="auto"/>
          <w:sz w:val="21"/>
          <w:szCs w:val="21"/>
        </w:rPr>
        <w:t>（</w:t>
      </w:r>
      <w:r>
        <w:rPr>
          <w:rFonts w:hint="eastAsia" w:ascii="宋体" w:hAnsi="宋体" w:eastAsia="宋体" w:cs="宋体"/>
          <w:color w:val="auto"/>
          <w:spacing w:val="-7"/>
          <w:sz w:val="21"/>
          <w:szCs w:val="21"/>
        </w:rPr>
        <w:t>即：以谎报事实或者隐瞒真相的方法来影响对方当事人在合同签 订、履行过程中的行为）的，对方当事人可以书面通知违约方解除本合同；</w:t>
      </w:r>
    </w:p>
    <w:p w14:paraId="3C457590">
      <w:pPr>
        <w:pStyle w:val="38"/>
        <w:numPr>
          <w:ilvl w:val="2"/>
          <w:numId w:val="9"/>
        </w:numPr>
        <w:tabs>
          <w:tab w:val="left" w:pos="1327"/>
        </w:tabs>
        <w:spacing w:before="4" w:line="360" w:lineRule="auto"/>
        <w:ind w:left="220"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任何一方按照前述约定要求违约方支付违约金的同时，仍有权要求违</w:t>
      </w:r>
      <w:r>
        <w:rPr>
          <w:rFonts w:hint="eastAsia" w:ascii="宋体" w:hAnsi="宋体" w:eastAsia="宋体" w:cs="宋体"/>
          <w:color w:val="auto"/>
          <w:spacing w:val="-10"/>
          <w:sz w:val="21"/>
          <w:szCs w:val="21"/>
        </w:rPr>
        <w:t>约方继续履行合同、采取补救措施，并有权按照己方实际损失情况要求违约方赔偿损失；任何一方按照前述约定要求解除本合同的同时，仍有权要求违约方支付</w:t>
      </w:r>
      <w:r>
        <w:rPr>
          <w:rFonts w:hint="eastAsia" w:ascii="宋体" w:hAnsi="宋体" w:eastAsia="宋体" w:cs="宋体"/>
          <w:color w:val="auto"/>
          <w:spacing w:val="-5"/>
          <w:sz w:val="21"/>
          <w:szCs w:val="21"/>
        </w:rPr>
        <w:t>违约金和按照己方实际损失情况要求违约方赔偿损失；且守约方行使的任何权利</w:t>
      </w:r>
      <w:r>
        <w:rPr>
          <w:rFonts w:hint="eastAsia" w:ascii="宋体" w:hAnsi="宋体" w:eastAsia="宋体" w:cs="宋体"/>
          <w:color w:val="auto"/>
          <w:sz w:val="21"/>
          <w:szCs w:val="21"/>
        </w:rPr>
        <w:t>救济方式均不视为其放弃了其他法定或者约定的权利救济方式；</w:t>
      </w:r>
    </w:p>
    <w:p w14:paraId="2937B111">
      <w:pPr>
        <w:pStyle w:val="38"/>
        <w:numPr>
          <w:ilvl w:val="2"/>
          <w:numId w:val="9"/>
        </w:numPr>
        <w:tabs>
          <w:tab w:val="left" w:pos="1315"/>
        </w:tabs>
        <w:spacing w:before="3" w:line="360" w:lineRule="auto"/>
        <w:ind w:left="220" w:right="359" w:firstLine="434"/>
        <w:jc w:val="both"/>
        <w:rPr>
          <w:rFonts w:hint="eastAsia" w:ascii="宋体" w:hAnsi="宋体" w:eastAsia="宋体" w:cs="宋体"/>
          <w:color w:val="auto"/>
          <w:spacing w:val="-7"/>
          <w:sz w:val="21"/>
          <w:szCs w:val="21"/>
        </w:rPr>
      </w:pPr>
      <w:r>
        <w:rPr>
          <w:rFonts w:hint="eastAsia" w:ascii="宋体" w:hAnsi="宋体" w:eastAsia="宋体" w:cs="宋体"/>
          <w:color w:val="auto"/>
          <w:spacing w:val="-16"/>
          <w:sz w:val="21"/>
          <w:szCs w:val="21"/>
        </w:rPr>
        <w:t xml:space="preserve">除前述约定外，除不可抗力外，任何一方未能履行本合同约定的义务， </w:t>
      </w:r>
      <w:r>
        <w:rPr>
          <w:rFonts w:hint="eastAsia" w:ascii="宋体" w:hAnsi="宋体" w:eastAsia="宋体" w:cs="宋体"/>
          <w:color w:val="auto"/>
          <w:spacing w:val="-7"/>
          <w:sz w:val="21"/>
          <w:szCs w:val="21"/>
        </w:rPr>
        <w:t>对方当事人均有权要求继续履行、采取补救措施或者赔偿损失等，且对方当事人行使的任何权利救济方式均不视为其放弃了其他法定或者约定的权利救济方式；</w:t>
      </w:r>
    </w:p>
    <w:p w14:paraId="305785BD">
      <w:pPr>
        <w:pStyle w:val="38"/>
        <w:numPr>
          <w:ilvl w:val="2"/>
          <w:numId w:val="9"/>
        </w:numPr>
        <w:tabs>
          <w:tab w:val="left" w:pos="1327"/>
        </w:tabs>
        <w:spacing w:before="160" w:line="360" w:lineRule="auto"/>
        <w:ind w:left="220"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如果出现政府采购监督管理部门在处理投诉事项期间，书面通知甲方</w:t>
      </w:r>
      <w:r>
        <w:rPr>
          <w:rFonts w:hint="eastAsia" w:ascii="宋体" w:hAnsi="宋体" w:eastAsia="宋体" w:cs="宋体"/>
          <w:color w:val="auto"/>
          <w:spacing w:val="-8"/>
          <w:sz w:val="21"/>
          <w:szCs w:val="21"/>
        </w:rPr>
        <w:t>暂停采购活动的情形，或者询问或质疑事项可能影响中标结果的，导致甲方中止</w:t>
      </w:r>
      <w:r>
        <w:rPr>
          <w:rFonts w:hint="eastAsia" w:ascii="宋体" w:hAnsi="宋体" w:eastAsia="宋体" w:cs="宋体"/>
          <w:color w:val="auto"/>
          <w:sz w:val="21"/>
          <w:szCs w:val="21"/>
        </w:rPr>
        <w:t>履行合同的情形，均不视为甲方违约。</w:t>
      </w:r>
    </w:p>
    <w:p w14:paraId="77A35526">
      <w:pPr>
        <w:pStyle w:val="38"/>
        <w:numPr>
          <w:ilvl w:val="2"/>
          <w:numId w:val="9"/>
        </w:numPr>
        <w:tabs>
          <w:tab w:val="left" w:pos="1327"/>
        </w:tabs>
        <w:spacing w:before="160" w:line="360" w:lineRule="auto"/>
        <w:ind w:left="220"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lang w:val="en-US"/>
        </w:rPr>
        <w:t>因甲方未按合同约定受领标的物、擅自解除合同导致乙方遭受的直接损失，乙方可向甲方申请赔偿，赔偿金额由双方协商-致; 针对因政策变化等原因不能签订合同或解除合同时，造成乙方合法利益受损的情形，可以给予乙方合理补偿，补偿金额不得超过乙方的直接损失。</w:t>
      </w:r>
    </w:p>
    <w:p w14:paraId="3E18E304">
      <w:pPr>
        <w:pStyle w:val="6"/>
        <w:keepNext w:val="0"/>
        <w:keepLines w:val="0"/>
        <w:numPr>
          <w:ilvl w:val="1"/>
          <w:numId w:val="9"/>
        </w:numPr>
        <w:tabs>
          <w:tab w:val="left" w:pos="1142"/>
        </w:tabs>
        <w:autoSpaceDE w:val="0"/>
        <w:autoSpaceDN w:val="0"/>
        <w:spacing w:before="2"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合同争议的解决</w:t>
      </w:r>
    </w:p>
    <w:p w14:paraId="02F5C487">
      <w:pPr>
        <w:pStyle w:val="12"/>
        <w:tabs>
          <w:tab w:val="left" w:pos="6701"/>
        </w:tabs>
        <w:spacing w:before="161" w:line="360" w:lineRule="auto"/>
        <w:ind w:right="116" w:firstLine="434"/>
        <w:rPr>
          <w:rFonts w:hint="eastAsia" w:ascii="宋体" w:hAnsi="宋体" w:eastAsia="宋体" w:cs="宋体"/>
          <w:color w:val="auto"/>
          <w:sz w:val="21"/>
          <w:szCs w:val="21"/>
        </w:rPr>
      </w:pPr>
      <w:r>
        <w:rPr>
          <w:rFonts w:hint="eastAsia" w:ascii="宋体" w:hAnsi="宋体" w:eastAsia="宋体" w:cs="宋体"/>
          <w:color w:val="auto"/>
          <w:sz w:val="21"/>
          <w:szCs w:val="21"/>
        </w:rPr>
        <w:t>本合同履行过程中发生的任何争议</w:t>
      </w:r>
      <w:r>
        <w:rPr>
          <w:rFonts w:hint="eastAsia" w:ascii="宋体" w:hAnsi="宋体" w:eastAsia="宋体" w:cs="宋体"/>
          <w:color w:val="auto"/>
          <w:spacing w:val="-48"/>
          <w:sz w:val="21"/>
          <w:szCs w:val="21"/>
        </w:rPr>
        <w:t>，</w:t>
      </w:r>
      <w:r>
        <w:rPr>
          <w:rFonts w:hint="eastAsia" w:ascii="宋体" w:hAnsi="宋体" w:eastAsia="宋体" w:cs="宋体"/>
          <w:color w:val="auto"/>
          <w:sz w:val="21"/>
          <w:szCs w:val="21"/>
        </w:rPr>
        <w:t>双方当事人均可通过和解或者调解解决</w:t>
      </w:r>
      <w:r>
        <w:rPr>
          <w:rFonts w:hint="eastAsia" w:ascii="宋体" w:hAnsi="宋体" w:eastAsia="宋体" w:cs="宋体"/>
          <w:color w:val="auto"/>
          <w:spacing w:val="-17"/>
          <w:sz w:val="21"/>
          <w:szCs w:val="21"/>
        </w:rPr>
        <w:t xml:space="preserve">； </w:t>
      </w:r>
      <w:r>
        <w:rPr>
          <w:rFonts w:hint="eastAsia" w:ascii="宋体" w:hAnsi="宋体" w:eastAsia="宋体" w:cs="宋体"/>
          <w:color w:val="auto"/>
          <w:sz w:val="21"/>
          <w:szCs w:val="21"/>
        </w:rPr>
        <w:t>不愿和解、调解或者和解、调解不成的，可以选择下列第</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种方式解决：</w:t>
      </w:r>
    </w:p>
    <w:p w14:paraId="4ED23893">
      <w:pPr>
        <w:pStyle w:val="38"/>
        <w:numPr>
          <w:ilvl w:val="2"/>
          <w:numId w:val="9"/>
        </w:numPr>
        <w:tabs>
          <w:tab w:val="left" w:pos="1327"/>
          <w:tab w:val="left" w:pos="4207"/>
        </w:tabs>
        <w:spacing w:before="1" w:line="360" w:lineRule="auto"/>
        <w:ind w:left="220" w:right="358" w:firstLine="434"/>
        <w:rPr>
          <w:rFonts w:hint="eastAsia" w:ascii="宋体" w:hAnsi="宋体" w:eastAsia="宋体" w:cs="宋体"/>
          <w:color w:val="auto"/>
          <w:sz w:val="21"/>
          <w:szCs w:val="21"/>
        </w:rPr>
      </w:pPr>
      <w:r>
        <w:rPr>
          <w:rFonts w:hint="eastAsia" w:ascii="宋体" w:hAnsi="宋体" w:eastAsia="宋体" w:cs="宋体"/>
          <w:color w:val="auto"/>
          <w:sz w:val="21"/>
          <w:szCs w:val="21"/>
        </w:rPr>
        <w:t>将争议提交</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仲裁委员会依申请仲裁时其现行有效的</w:t>
      </w:r>
      <w:r>
        <w:rPr>
          <w:rFonts w:hint="eastAsia" w:ascii="宋体" w:hAnsi="宋体" w:eastAsia="宋体" w:cs="宋体"/>
          <w:color w:val="auto"/>
          <w:spacing w:val="-19"/>
          <w:sz w:val="21"/>
          <w:szCs w:val="21"/>
        </w:rPr>
        <w:t>仲</w:t>
      </w:r>
      <w:r>
        <w:rPr>
          <w:rFonts w:hint="eastAsia" w:ascii="宋体" w:hAnsi="宋体" w:eastAsia="宋体" w:cs="宋体"/>
          <w:color w:val="auto"/>
          <w:sz w:val="21"/>
          <w:szCs w:val="21"/>
        </w:rPr>
        <w:t>裁规则裁决；</w:t>
      </w:r>
    </w:p>
    <w:p w14:paraId="7A689CD7">
      <w:pPr>
        <w:pStyle w:val="38"/>
        <w:numPr>
          <w:ilvl w:val="0"/>
          <w:numId w:val="0"/>
        </w:numPr>
        <w:tabs>
          <w:tab w:val="left" w:pos="1315"/>
          <w:tab w:val="left" w:pos="4435"/>
        </w:tabs>
        <w:spacing w:before="2" w:line="360" w:lineRule="auto"/>
        <w:ind w:leftChars="200" w:firstLine="240" w:firstLineChars="100"/>
        <w:rPr>
          <w:rFonts w:hint="eastAsia" w:ascii="宋体" w:hAnsi="宋体" w:eastAsia="宋体" w:cs="宋体"/>
          <w:color w:val="auto"/>
          <w:sz w:val="21"/>
          <w:szCs w:val="21"/>
        </w:rPr>
      </w:pPr>
      <w:r>
        <w:rPr>
          <w:rFonts w:hint="eastAsia" w:ascii="宋体" w:hAnsi="宋体" w:eastAsia="宋体" w:cs="宋体"/>
          <w:color w:val="auto"/>
          <w:sz w:val="24"/>
          <w:szCs w:val="24"/>
          <w:lang w:val="en-US" w:eastAsia="zh-CN"/>
        </w:rPr>
        <w:t>1.7.2</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向</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人民法院起诉。</w:t>
      </w:r>
    </w:p>
    <w:p w14:paraId="0D40E3F7">
      <w:pPr>
        <w:pStyle w:val="6"/>
        <w:keepNext w:val="0"/>
        <w:keepLines w:val="0"/>
        <w:numPr>
          <w:ilvl w:val="1"/>
          <w:numId w:val="9"/>
        </w:numPr>
        <w:tabs>
          <w:tab w:val="left" w:pos="1142"/>
        </w:tabs>
        <w:autoSpaceDE w:val="0"/>
        <w:autoSpaceDN w:val="0"/>
        <w:spacing w:before="160"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合同生效</w:t>
      </w:r>
    </w:p>
    <w:p w14:paraId="40CF1583">
      <w:pPr>
        <w:pStyle w:val="12"/>
        <w:spacing w:before="161" w:line="360" w:lineRule="auto"/>
        <w:ind w:left="654"/>
        <w:rPr>
          <w:rFonts w:hint="eastAsia" w:ascii="宋体" w:hAnsi="宋体" w:eastAsia="宋体" w:cs="宋体"/>
          <w:color w:val="auto"/>
          <w:sz w:val="21"/>
          <w:szCs w:val="21"/>
        </w:rPr>
      </w:pPr>
      <w:r>
        <w:rPr>
          <w:rFonts w:hint="eastAsia" w:ascii="宋体" w:hAnsi="宋体" w:eastAsia="宋体" w:cs="宋体"/>
          <w:color w:val="auto"/>
          <w:sz w:val="21"/>
          <w:szCs w:val="21"/>
        </w:rPr>
        <w:t>本合同自双方当事人盖章时生效。</w:t>
      </w:r>
    </w:p>
    <w:p w14:paraId="4FC19B0E">
      <w:pPr>
        <w:pStyle w:val="12"/>
        <w:spacing w:before="10" w:line="360" w:lineRule="auto"/>
        <w:rPr>
          <w:rFonts w:hint="eastAsia" w:ascii="宋体" w:hAnsi="宋体" w:eastAsia="宋体" w:cs="宋体"/>
          <w:color w:val="auto"/>
          <w:sz w:val="21"/>
          <w:szCs w:val="21"/>
        </w:rPr>
      </w:pPr>
    </w:p>
    <w:p w14:paraId="0797996D">
      <w:pPr>
        <w:pStyle w:val="12"/>
        <w:tabs>
          <w:tab w:val="left" w:pos="940"/>
          <w:tab w:val="left" w:pos="1900"/>
          <w:tab w:val="left" w:pos="3940"/>
          <w:tab w:val="left" w:pos="5141"/>
          <w:tab w:val="left" w:pos="6341"/>
          <w:tab w:val="left" w:pos="8381"/>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甲</w:t>
      </w:r>
      <w:r>
        <w:rPr>
          <w:rFonts w:hint="eastAsia" w:ascii="宋体" w:hAnsi="宋体" w:eastAsia="宋体" w:cs="宋体"/>
          <w:color w:val="auto"/>
          <w:sz w:val="21"/>
          <w:szCs w:val="21"/>
        </w:rPr>
        <w:tab/>
      </w:r>
      <w:r>
        <w:rPr>
          <w:rFonts w:hint="eastAsia" w:ascii="宋体" w:hAnsi="宋体" w:eastAsia="宋体" w:cs="宋体"/>
          <w:color w:val="auto"/>
          <w:sz w:val="21"/>
          <w:szCs w:val="21"/>
        </w:rPr>
        <w:t>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（单位盖章）</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ab/>
      </w:r>
      <w:r>
        <w:rPr>
          <w:rFonts w:hint="eastAsia" w:ascii="宋体" w:hAnsi="宋体" w:eastAsia="宋体" w:cs="宋体"/>
          <w:color w:val="auto"/>
          <w:sz w:val="21"/>
          <w:szCs w:val="21"/>
        </w:rPr>
        <w:t>乙方：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（单位盖章）</w:t>
      </w:r>
      <w:r>
        <w:rPr>
          <w:rFonts w:hint="eastAsia" w:ascii="宋体" w:hAnsi="宋体" w:eastAsia="宋体" w:cs="宋体"/>
          <w:color w:val="auto"/>
          <w:sz w:val="21"/>
          <w:szCs w:val="21"/>
          <w:u w:val="single"/>
        </w:rPr>
        <w:tab/>
      </w:r>
    </w:p>
    <w:p w14:paraId="42C91414">
      <w:pPr>
        <w:pStyle w:val="12"/>
        <w:spacing w:before="6" w:line="360" w:lineRule="auto"/>
        <w:rPr>
          <w:rFonts w:hint="eastAsia" w:ascii="宋体" w:hAnsi="宋体" w:eastAsia="宋体" w:cs="宋体"/>
          <w:color w:val="auto"/>
          <w:sz w:val="21"/>
          <w:szCs w:val="21"/>
        </w:rPr>
      </w:pPr>
    </w:p>
    <w:p w14:paraId="17CDE6DA">
      <w:pPr>
        <w:pStyle w:val="12"/>
        <w:tabs>
          <w:tab w:val="left" w:pos="5141"/>
        </w:tabs>
        <w:spacing w:before="66"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rPr>
        <w:tab/>
      </w:r>
      <w:r>
        <w:rPr>
          <w:rFonts w:hint="eastAsia" w:ascii="宋体" w:hAnsi="宋体" w:eastAsia="宋体" w:cs="宋体"/>
          <w:color w:val="auto"/>
          <w:sz w:val="21"/>
          <w:szCs w:val="21"/>
        </w:rPr>
        <w:t>法定代表人</w:t>
      </w:r>
    </w:p>
    <w:p w14:paraId="3FB50E56">
      <w:pPr>
        <w:pStyle w:val="12"/>
        <w:spacing w:before="11" w:line="360" w:lineRule="auto"/>
        <w:rPr>
          <w:rFonts w:hint="eastAsia" w:ascii="宋体" w:hAnsi="宋体" w:eastAsia="宋体" w:cs="宋体"/>
          <w:color w:val="auto"/>
          <w:sz w:val="21"/>
          <w:szCs w:val="21"/>
        </w:rPr>
      </w:pPr>
    </w:p>
    <w:p w14:paraId="5491B523">
      <w:pPr>
        <w:pStyle w:val="12"/>
        <w:tabs>
          <w:tab w:val="left" w:pos="5141"/>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或授权代表（签字</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r>
        <w:rPr>
          <w:rFonts w:hint="eastAsia" w:ascii="宋体" w:hAnsi="宋体" w:eastAsia="宋体" w:cs="宋体"/>
          <w:color w:val="auto"/>
          <w:sz w:val="21"/>
          <w:szCs w:val="21"/>
        </w:rPr>
        <w:tab/>
      </w:r>
      <w:r>
        <w:rPr>
          <w:rFonts w:hint="eastAsia" w:ascii="宋体" w:hAnsi="宋体" w:eastAsia="宋体" w:cs="宋体"/>
          <w:color w:val="auto"/>
          <w:sz w:val="21"/>
          <w:szCs w:val="21"/>
        </w:rPr>
        <w:t>或授权代表（签字</w:t>
      </w:r>
      <w:r>
        <w:rPr>
          <w:rFonts w:hint="eastAsia" w:ascii="宋体" w:hAnsi="宋体" w:eastAsia="宋体" w:cs="宋体"/>
          <w:color w:val="auto"/>
          <w:spacing w:val="-120"/>
          <w:sz w:val="21"/>
          <w:szCs w:val="21"/>
        </w:rPr>
        <w:t>）</w:t>
      </w:r>
      <w:r>
        <w:rPr>
          <w:rFonts w:hint="eastAsia" w:ascii="宋体" w:hAnsi="宋体" w:eastAsia="宋体" w:cs="宋体"/>
          <w:color w:val="auto"/>
          <w:sz w:val="21"/>
          <w:szCs w:val="21"/>
        </w:rPr>
        <w:t>：</w:t>
      </w:r>
    </w:p>
    <w:p w14:paraId="5D60BA0E">
      <w:pPr>
        <w:pStyle w:val="12"/>
        <w:spacing w:before="8" w:line="360" w:lineRule="auto"/>
        <w:rPr>
          <w:rFonts w:hint="eastAsia" w:ascii="宋体" w:hAnsi="宋体" w:eastAsia="宋体" w:cs="宋体"/>
          <w:color w:val="auto"/>
          <w:sz w:val="21"/>
          <w:szCs w:val="21"/>
        </w:rPr>
      </w:pPr>
    </w:p>
    <w:p w14:paraId="255C7936">
      <w:pPr>
        <w:pStyle w:val="12"/>
        <w:tabs>
          <w:tab w:val="left" w:pos="1660"/>
          <w:tab w:val="left" w:pos="2380"/>
          <w:tab w:val="left" w:pos="3100"/>
          <w:tab w:val="left" w:pos="5141"/>
          <w:tab w:val="left" w:pos="6581"/>
          <w:tab w:val="left" w:pos="7301"/>
          <w:tab w:val="left" w:pos="8021"/>
        </w:tabs>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日</w:t>
      </w:r>
      <w:r>
        <w:rPr>
          <w:rFonts w:hint="eastAsia" w:ascii="宋体" w:hAnsi="宋体" w:eastAsia="宋体" w:cs="宋体"/>
          <w:color w:val="auto"/>
          <w:sz w:val="21"/>
          <w:szCs w:val="21"/>
        </w:rPr>
        <w:tab/>
      </w:r>
      <w:r>
        <w:rPr>
          <w:rFonts w:hint="eastAsia" w:ascii="宋体" w:hAnsi="宋体" w:eastAsia="宋体" w:cs="宋体"/>
          <w:color w:val="auto"/>
          <w:sz w:val="21"/>
          <w:szCs w:val="21"/>
        </w:rPr>
        <w:t>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rPr>
        <w:t>日</w:t>
      </w:r>
    </w:p>
    <w:p w14:paraId="54DFFD6E">
      <w:pPr>
        <w:spacing w:line="360" w:lineRule="auto"/>
        <w:rPr>
          <w:rFonts w:hint="eastAsia" w:ascii="宋体" w:hAnsi="宋体" w:eastAsia="宋体" w:cs="宋体"/>
          <w:color w:val="auto"/>
        </w:rPr>
        <w:sectPr>
          <w:pgSz w:w="11910" w:h="16840"/>
          <w:pgMar w:top="1380" w:right="1440" w:bottom="1500" w:left="1580" w:header="877" w:footer="1304" w:gutter="0"/>
          <w:cols w:space="720" w:num="1"/>
        </w:sectPr>
      </w:pPr>
    </w:p>
    <w:p w14:paraId="3DDF862A">
      <w:pPr>
        <w:pStyle w:val="6"/>
        <w:spacing w:line="360" w:lineRule="auto"/>
        <w:ind w:left="1367" w:right="1505"/>
        <w:jc w:val="center"/>
        <w:rPr>
          <w:rFonts w:hint="eastAsia" w:ascii="宋体" w:hAnsi="宋体" w:eastAsia="宋体" w:cs="宋体"/>
          <w:color w:val="auto"/>
          <w:sz w:val="21"/>
          <w:szCs w:val="21"/>
        </w:rPr>
      </w:pPr>
      <w:r>
        <w:rPr>
          <w:rFonts w:hint="eastAsia" w:ascii="宋体" w:hAnsi="宋体" w:eastAsia="宋体" w:cs="宋体"/>
          <w:color w:val="auto"/>
          <w:sz w:val="21"/>
          <w:szCs w:val="21"/>
        </w:rPr>
        <w:t>第二部分 合同一般条款</w:t>
      </w:r>
    </w:p>
    <w:p w14:paraId="3AF5F9C1">
      <w:pPr>
        <w:pStyle w:val="6"/>
        <w:keepNext w:val="0"/>
        <w:keepLines w:val="0"/>
        <w:numPr>
          <w:ilvl w:val="1"/>
          <w:numId w:val="10"/>
        </w:numPr>
        <w:tabs>
          <w:tab w:val="left" w:pos="1142"/>
        </w:tabs>
        <w:autoSpaceDE w:val="0"/>
        <w:autoSpaceDN w:val="0"/>
        <w:spacing w:before="160"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定义</w:t>
      </w:r>
    </w:p>
    <w:p w14:paraId="2D546A7C">
      <w:pPr>
        <w:pStyle w:val="12"/>
        <w:spacing w:before="161" w:line="360" w:lineRule="auto"/>
        <w:ind w:left="654"/>
        <w:rPr>
          <w:rFonts w:hint="eastAsia" w:ascii="宋体" w:hAnsi="宋体" w:eastAsia="宋体" w:cs="宋体"/>
          <w:color w:val="auto"/>
          <w:sz w:val="21"/>
          <w:szCs w:val="21"/>
        </w:rPr>
      </w:pPr>
      <w:r>
        <w:rPr>
          <w:rFonts w:hint="eastAsia" w:ascii="宋体" w:hAnsi="宋体" w:eastAsia="宋体" w:cs="宋体"/>
          <w:color w:val="auto"/>
          <w:sz w:val="21"/>
          <w:szCs w:val="21"/>
        </w:rPr>
        <w:t>本合同中的下列词语应按以下内容进行解释：</w:t>
      </w:r>
    </w:p>
    <w:p w14:paraId="1A54C81F">
      <w:pPr>
        <w:pStyle w:val="38"/>
        <w:numPr>
          <w:ilvl w:val="2"/>
          <w:numId w:val="10"/>
        </w:numPr>
        <w:tabs>
          <w:tab w:val="left" w:pos="1256"/>
        </w:tabs>
        <w:spacing w:before="160" w:line="360" w:lineRule="auto"/>
        <w:ind w:right="358" w:firstLine="434"/>
        <w:rPr>
          <w:rFonts w:hint="eastAsia" w:ascii="宋体" w:hAnsi="宋体" w:eastAsia="宋体" w:cs="宋体"/>
          <w:color w:val="auto"/>
          <w:sz w:val="21"/>
          <w:szCs w:val="21"/>
        </w:rPr>
      </w:pPr>
      <w:r>
        <w:rPr>
          <w:rFonts w:hint="eastAsia" w:ascii="宋体" w:hAnsi="宋体" w:eastAsia="宋体" w:cs="宋体"/>
          <w:color w:val="auto"/>
          <w:sz w:val="21"/>
          <w:szCs w:val="21"/>
        </w:rPr>
        <w:t>“合同”系指采购人和中标人签订的载明双方当事人所达成的协议， 并包括所有的附件、附录和构成合同的其他文件。</w:t>
      </w:r>
    </w:p>
    <w:p w14:paraId="6F6E4E76">
      <w:pPr>
        <w:pStyle w:val="38"/>
        <w:numPr>
          <w:ilvl w:val="2"/>
          <w:numId w:val="10"/>
        </w:numPr>
        <w:tabs>
          <w:tab w:val="left" w:pos="1256"/>
        </w:tabs>
        <w:spacing w:before="2" w:line="360" w:lineRule="auto"/>
        <w:ind w:right="356" w:firstLine="434"/>
        <w:rPr>
          <w:rFonts w:hint="eastAsia" w:ascii="宋体" w:hAnsi="宋体" w:eastAsia="宋体" w:cs="宋体"/>
          <w:color w:val="auto"/>
          <w:sz w:val="21"/>
          <w:szCs w:val="21"/>
        </w:rPr>
      </w:pPr>
      <w:r>
        <w:rPr>
          <w:rFonts w:hint="eastAsia" w:ascii="宋体" w:hAnsi="宋体" w:eastAsia="宋体" w:cs="宋体"/>
          <w:color w:val="auto"/>
          <w:sz w:val="21"/>
          <w:szCs w:val="21"/>
        </w:rPr>
        <w:t>“合同价”系指根据合同约定，中标人在完全履行合同义务后，采购人应支付给中标人的价格。</w:t>
      </w:r>
    </w:p>
    <w:p w14:paraId="00F4F59A">
      <w:pPr>
        <w:pStyle w:val="38"/>
        <w:numPr>
          <w:ilvl w:val="2"/>
          <w:numId w:val="10"/>
        </w:numPr>
        <w:tabs>
          <w:tab w:val="left" w:pos="1256"/>
        </w:tabs>
        <w:spacing w:before="1"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z w:val="21"/>
          <w:szCs w:val="21"/>
        </w:rPr>
        <w:t>“服务”系指中标人根据合同约定应向采购人履行的除货物和工程以</w:t>
      </w:r>
      <w:r>
        <w:rPr>
          <w:rFonts w:hint="eastAsia" w:ascii="宋体" w:hAnsi="宋体" w:eastAsia="宋体" w:cs="宋体"/>
          <w:color w:val="auto"/>
          <w:spacing w:val="-10"/>
          <w:sz w:val="21"/>
          <w:szCs w:val="21"/>
        </w:rPr>
        <w:t>外的其他政府采购对象，包括采购人自身需要的服务和向社会公众提供的公共服</w:t>
      </w:r>
      <w:r>
        <w:rPr>
          <w:rFonts w:hint="eastAsia" w:ascii="宋体" w:hAnsi="宋体" w:eastAsia="宋体" w:cs="宋体"/>
          <w:color w:val="auto"/>
          <w:sz w:val="21"/>
          <w:szCs w:val="21"/>
        </w:rPr>
        <w:t>务。</w:t>
      </w:r>
    </w:p>
    <w:p w14:paraId="33A02249">
      <w:pPr>
        <w:pStyle w:val="38"/>
        <w:numPr>
          <w:ilvl w:val="2"/>
          <w:numId w:val="10"/>
        </w:numPr>
        <w:tabs>
          <w:tab w:val="left" w:pos="1256"/>
        </w:tabs>
        <w:spacing w:before="2" w:line="360" w:lineRule="auto"/>
        <w:ind w:right="356" w:firstLine="434"/>
        <w:rPr>
          <w:rFonts w:hint="eastAsia" w:ascii="宋体" w:hAnsi="宋体" w:eastAsia="宋体" w:cs="宋体"/>
          <w:color w:val="auto"/>
          <w:sz w:val="21"/>
          <w:szCs w:val="21"/>
        </w:rPr>
      </w:pPr>
      <w:r>
        <w:rPr>
          <w:rFonts w:hint="eastAsia" w:ascii="宋体" w:hAnsi="宋体" w:eastAsia="宋体" w:cs="宋体"/>
          <w:color w:val="auto"/>
          <w:sz w:val="21"/>
          <w:szCs w:val="21"/>
        </w:rPr>
        <w:t>“甲方”系指与中标人签署合同的采购人；采购人委托采购代理机构代表其与乙方签订合同的，采购人的授权委托书作为合同附件。</w:t>
      </w:r>
    </w:p>
    <w:p w14:paraId="424DF73C">
      <w:pPr>
        <w:pStyle w:val="38"/>
        <w:numPr>
          <w:ilvl w:val="2"/>
          <w:numId w:val="10"/>
        </w:numPr>
        <w:tabs>
          <w:tab w:val="left" w:pos="1256"/>
        </w:tabs>
        <w:spacing w:before="1" w:line="360" w:lineRule="auto"/>
        <w:ind w:right="244" w:firstLine="434"/>
        <w:rPr>
          <w:rFonts w:hint="eastAsia" w:ascii="宋体" w:hAnsi="宋体" w:eastAsia="宋体" w:cs="宋体"/>
          <w:color w:val="auto"/>
          <w:sz w:val="21"/>
          <w:szCs w:val="21"/>
        </w:rPr>
      </w:pPr>
      <w:r>
        <w:rPr>
          <w:rFonts w:hint="eastAsia" w:ascii="宋体" w:hAnsi="宋体" w:eastAsia="宋体" w:cs="宋体"/>
          <w:color w:val="auto"/>
          <w:sz w:val="21"/>
          <w:szCs w:val="21"/>
        </w:rPr>
        <w:t>“乙方”系指根据合同约定提供服务的中标人；两个以上的自然人、</w:t>
      </w:r>
      <w:r>
        <w:rPr>
          <w:rFonts w:hint="eastAsia" w:ascii="宋体" w:hAnsi="宋体" w:eastAsia="宋体" w:cs="宋体"/>
          <w:color w:val="auto"/>
          <w:spacing w:val="-1"/>
          <w:sz w:val="21"/>
          <w:szCs w:val="21"/>
        </w:rPr>
        <w:t xml:space="preserve">法人或者其他组织组成一个联合体，以一个供应商的身份共同参加政府采购的， </w:t>
      </w:r>
      <w:r>
        <w:rPr>
          <w:rFonts w:hint="eastAsia" w:ascii="宋体" w:hAnsi="宋体" w:eastAsia="宋体" w:cs="宋体"/>
          <w:color w:val="auto"/>
          <w:spacing w:val="-4"/>
          <w:sz w:val="21"/>
          <w:szCs w:val="21"/>
        </w:rPr>
        <w:t>联合体各方均应为乙方或者与乙方相同地位的合同当事人，并就合同约定的事项对甲方承担连带责任。</w:t>
      </w:r>
    </w:p>
    <w:p w14:paraId="1A54A36C">
      <w:pPr>
        <w:pStyle w:val="38"/>
        <w:numPr>
          <w:ilvl w:val="2"/>
          <w:numId w:val="10"/>
        </w:numPr>
        <w:tabs>
          <w:tab w:val="left" w:pos="1256"/>
        </w:tabs>
        <w:spacing w:before="3" w:line="360" w:lineRule="auto"/>
        <w:ind w:left="1255" w:hanging="602"/>
        <w:rPr>
          <w:rFonts w:hint="eastAsia" w:ascii="宋体" w:hAnsi="宋体" w:eastAsia="宋体" w:cs="宋体"/>
          <w:color w:val="auto"/>
          <w:sz w:val="21"/>
          <w:szCs w:val="21"/>
        </w:rPr>
      </w:pPr>
      <w:r>
        <w:rPr>
          <w:rFonts w:hint="eastAsia" w:ascii="宋体" w:hAnsi="宋体" w:eastAsia="宋体" w:cs="宋体"/>
          <w:color w:val="auto"/>
          <w:sz w:val="21"/>
          <w:szCs w:val="21"/>
        </w:rPr>
        <w:t>“现场”系指合同约定提供服务的地点。</w:t>
      </w:r>
    </w:p>
    <w:p w14:paraId="0BC57330">
      <w:pPr>
        <w:pStyle w:val="6"/>
        <w:keepNext w:val="0"/>
        <w:keepLines w:val="0"/>
        <w:numPr>
          <w:ilvl w:val="1"/>
          <w:numId w:val="10"/>
        </w:numPr>
        <w:tabs>
          <w:tab w:val="left" w:pos="1142"/>
        </w:tabs>
        <w:autoSpaceDE w:val="0"/>
        <w:autoSpaceDN w:val="0"/>
        <w:spacing w:before="161"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技术规范</w:t>
      </w:r>
    </w:p>
    <w:p w14:paraId="5739F065">
      <w:pPr>
        <w:pStyle w:val="12"/>
        <w:spacing w:before="160"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z w:val="21"/>
          <w:szCs w:val="21"/>
        </w:rPr>
        <w:t>货物所应遵守的技术规范应与采购文件规定的技术规范和技术规范附件(如</w:t>
      </w:r>
      <w:r>
        <w:rPr>
          <w:rFonts w:hint="eastAsia" w:ascii="宋体" w:hAnsi="宋体" w:eastAsia="宋体" w:cs="宋体"/>
          <w:color w:val="auto"/>
          <w:spacing w:val="-1"/>
          <w:sz w:val="21"/>
          <w:szCs w:val="21"/>
        </w:rPr>
        <w:t>果有的话)及其技术规范偏差表(如果被甲方接受的话)相一致；如果采购文件中</w:t>
      </w:r>
      <w:r>
        <w:rPr>
          <w:rFonts w:hint="eastAsia" w:ascii="宋体" w:hAnsi="宋体" w:eastAsia="宋体" w:cs="宋体"/>
          <w:color w:val="auto"/>
          <w:spacing w:val="-9"/>
          <w:sz w:val="21"/>
          <w:szCs w:val="21"/>
        </w:rPr>
        <w:t>没有技术规范的相应说明，那么应以国家有关部门最新颁布的相应标准和规范为</w:t>
      </w:r>
      <w:r>
        <w:rPr>
          <w:rFonts w:hint="eastAsia" w:ascii="宋体" w:hAnsi="宋体" w:eastAsia="宋体" w:cs="宋体"/>
          <w:color w:val="auto"/>
          <w:sz w:val="21"/>
          <w:szCs w:val="21"/>
        </w:rPr>
        <w:t>准。</w:t>
      </w:r>
    </w:p>
    <w:p w14:paraId="11588AD0">
      <w:pPr>
        <w:pStyle w:val="6"/>
        <w:keepNext w:val="0"/>
        <w:keepLines w:val="0"/>
        <w:numPr>
          <w:ilvl w:val="1"/>
          <w:numId w:val="10"/>
        </w:numPr>
        <w:tabs>
          <w:tab w:val="left" w:pos="1142"/>
        </w:tabs>
        <w:autoSpaceDE w:val="0"/>
        <w:autoSpaceDN w:val="0"/>
        <w:spacing w:before="3"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知识产权</w:t>
      </w:r>
    </w:p>
    <w:p w14:paraId="22BC1DC1">
      <w:pPr>
        <w:pStyle w:val="38"/>
        <w:numPr>
          <w:ilvl w:val="2"/>
          <w:numId w:val="10"/>
        </w:numPr>
        <w:tabs>
          <w:tab w:val="left" w:pos="1327"/>
        </w:tabs>
        <w:spacing w:before="161"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乙方应保证其提供的服务不受任何第三方提出的侵犯其著作权、商标</w:t>
      </w:r>
      <w:r>
        <w:rPr>
          <w:rFonts w:hint="eastAsia" w:ascii="宋体" w:hAnsi="宋体" w:eastAsia="宋体" w:cs="宋体"/>
          <w:color w:val="auto"/>
          <w:spacing w:val="-10"/>
          <w:sz w:val="21"/>
          <w:szCs w:val="21"/>
        </w:rPr>
        <w:t>权、专利权等知识产权方面的起诉；如果任何第三方提出侵权指控，那么乙方须</w:t>
      </w:r>
      <w:r>
        <w:rPr>
          <w:rFonts w:hint="eastAsia" w:ascii="宋体" w:hAnsi="宋体" w:eastAsia="宋体" w:cs="宋体"/>
          <w:color w:val="auto"/>
          <w:sz w:val="21"/>
          <w:szCs w:val="21"/>
        </w:rPr>
        <w:t>与该第三方交涉并承担由此发生的一切责任、费用和赔偿；</w:t>
      </w:r>
    </w:p>
    <w:p w14:paraId="5F197582">
      <w:pPr>
        <w:pStyle w:val="38"/>
        <w:numPr>
          <w:ilvl w:val="2"/>
          <w:numId w:val="10"/>
        </w:numPr>
        <w:tabs>
          <w:tab w:val="left" w:pos="1322"/>
        </w:tabs>
        <w:spacing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pacing w:val="-10"/>
          <w:sz w:val="21"/>
          <w:szCs w:val="21"/>
        </w:rPr>
        <w:t>具有知识产权的计算机软件等货物的知识产权归属，详见</w:t>
      </w:r>
      <w:r>
        <w:rPr>
          <w:rFonts w:hint="eastAsia" w:ascii="宋体" w:hAnsi="宋体" w:eastAsia="宋体" w:cs="宋体"/>
          <w:b/>
          <w:color w:val="auto"/>
          <w:spacing w:val="-4"/>
          <w:w w:val="95"/>
          <w:sz w:val="21"/>
          <w:szCs w:val="21"/>
          <w:u w:val="single"/>
        </w:rPr>
        <w:t>合同专用条</w:t>
      </w:r>
      <w:r>
        <w:rPr>
          <w:rFonts w:hint="eastAsia" w:ascii="宋体" w:hAnsi="宋体" w:eastAsia="宋体" w:cs="宋体"/>
          <w:b/>
          <w:color w:val="auto"/>
          <w:sz w:val="21"/>
          <w:szCs w:val="21"/>
          <w:u w:val="single"/>
        </w:rPr>
        <w:t>款</w:t>
      </w:r>
      <w:r>
        <w:rPr>
          <w:rFonts w:hint="eastAsia" w:ascii="宋体" w:hAnsi="宋体" w:eastAsia="宋体" w:cs="宋体"/>
          <w:color w:val="auto"/>
          <w:sz w:val="21"/>
          <w:szCs w:val="21"/>
        </w:rPr>
        <w:t>。</w:t>
      </w:r>
    </w:p>
    <w:p w14:paraId="26BE86B8">
      <w:pPr>
        <w:pStyle w:val="6"/>
        <w:keepNext w:val="0"/>
        <w:keepLines w:val="0"/>
        <w:numPr>
          <w:ilvl w:val="1"/>
          <w:numId w:val="10"/>
        </w:numPr>
        <w:tabs>
          <w:tab w:val="left" w:pos="1142"/>
        </w:tabs>
        <w:autoSpaceDE w:val="0"/>
        <w:autoSpaceDN w:val="0"/>
        <w:spacing w:before="3"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履约检查和问题反馈</w:t>
      </w:r>
    </w:p>
    <w:p w14:paraId="6B1326A3">
      <w:pPr>
        <w:pStyle w:val="38"/>
        <w:numPr>
          <w:ilvl w:val="2"/>
          <w:numId w:val="10"/>
        </w:numPr>
        <w:tabs>
          <w:tab w:val="left" w:pos="1327"/>
        </w:tabs>
        <w:spacing w:before="132"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甲方有权在其认为必要时，对乙方是否能够按照合同约定提供服务进</w:t>
      </w:r>
      <w:r>
        <w:rPr>
          <w:rFonts w:hint="eastAsia" w:ascii="宋体" w:hAnsi="宋体" w:eastAsia="宋体" w:cs="宋体"/>
          <w:color w:val="auto"/>
          <w:spacing w:val="-10"/>
          <w:sz w:val="21"/>
          <w:szCs w:val="21"/>
        </w:rPr>
        <w:t>行履约检查，以确保乙方所提供的服务能够依约满足甲方项目需求，但不得因履</w:t>
      </w:r>
      <w:r>
        <w:rPr>
          <w:rFonts w:hint="eastAsia" w:ascii="宋体" w:hAnsi="宋体" w:eastAsia="宋体" w:cs="宋体"/>
          <w:color w:val="auto"/>
          <w:sz w:val="21"/>
          <w:szCs w:val="21"/>
        </w:rPr>
        <w:t>约检查妨碍乙方的正常工作，乙方应予积极配合；</w:t>
      </w:r>
    </w:p>
    <w:p w14:paraId="1363A497">
      <w:pPr>
        <w:pStyle w:val="38"/>
        <w:numPr>
          <w:ilvl w:val="2"/>
          <w:numId w:val="10"/>
        </w:numPr>
        <w:tabs>
          <w:tab w:val="left" w:pos="1327"/>
        </w:tabs>
        <w:spacing w:before="2" w:line="360" w:lineRule="auto"/>
        <w:ind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合同履行期间，甲方有权将履行过程中出现的问题反馈给乙方，双方</w:t>
      </w:r>
      <w:r>
        <w:rPr>
          <w:rFonts w:hint="eastAsia" w:ascii="宋体" w:hAnsi="宋体" w:eastAsia="宋体" w:cs="宋体"/>
          <w:color w:val="auto"/>
          <w:sz w:val="21"/>
          <w:szCs w:val="21"/>
        </w:rPr>
        <w:t>当事人应以书面形式约定需要完善和改进的内容。</w:t>
      </w:r>
    </w:p>
    <w:p w14:paraId="6731D759">
      <w:pPr>
        <w:pStyle w:val="38"/>
        <w:numPr>
          <w:ilvl w:val="1"/>
          <w:numId w:val="10"/>
        </w:numPr>
        <w:tabs>
          <w:tab w:val="left" w:pos="1142"/>
        </w:tabs>
        <w:spacing w:before="1" w:line="360" w:lineRule="auto"/>
        <w:ind w:left="652" w:firstLine="0"/>
        <w:jc w:val="both"/>
        <w:rPr>
          <w:rFonts w:hint="eastAsia" w:ascii="宋体" w:hAnsi="宋体" w:eastAsia="宋体" w:cs="宋体"/>
          <w:color w:val="auto"/>
          <w:sz w:val="21"/>
          <w:szCs w:val="21"/>
        </w:rPr>
      </w:pPr>
      <w:r>
        <w:rPr>
          <w:rFonts w:hint="eastAsia" w:ascii="宋体" w:hAnsi="宋体" w:eastAsia="宋体" w:cs="宋体"/>
          <w:b/>
          <w:color w:val="auto"/>
          <w:spacing w:val="-2"/>
          <w:sz w:val="21"/>
          <w:szCs w:val="21"/>
        </w:rPr>
        <w:t xml:space="preserve">结算方式和付款条件  </w:t>
      </w:r>
    </w:p>
    <w:p w14:paraId="4B7CBD77">
      <w:pPr>
        <w:pStyle w:val="38"/>
        <w:tabs>
          <w:tab w:val="left" w:pos="1142"/>
        </w:tabs>
        <w:spacing w:before="1" w:line="360" w:lineRule="auto"/>
        <w:ind w:left="651" w:leftChars="310" w:firstLine="210" w:firstLineChars="100"/>
        <w:rPr>
          <w:rFonts w:hint="eastAsia" w:ascii="宋体" w:hAnsi="宋体" w:eastAsia="宋体" w:cs="宋体"/>
          <w:color w:val="auto"/>
          <w:sz w:val="21"/>
          <w:szCs w:val="21"/>
        </w:rPr>
      </w:pPr>
      <w:r>
        <w:rPr>
          <w:rFonts w:hint="eastAsia" w:ascii="宋体" w:hAnsi="宋体" w:eastAsia="宋体" w:cs="宋体"/>
          <w:color w:val="auto"/>
          <w:sz w:val="21"/>
          <w:szCs w:val="21"/>
        </w:rPr>
        <w:t>详见</w:t>
      </w:r>
      <w:r>
        <w:rPr>
          <w:rFonts w:hint="eastAsia" w:ascii="宋体" w:hAnsi="宋体" w:eastAsia="宋体" w:cs="宋体"/>
          <w:b/>
          <w:color w:val="auto"/>
          <w:sz w:val="21"/>
          <w:szCs w:val="21"/>
          <w:u w:val="single"/>
        </w:rPr>
        <w:t>合同专用条款</w:t>
      </w:r>
      <w:r>
        <w:rPr>
          <w:rFonts w:hint="eastAsia" w:ascii="宋体" w:hAnsi="宋体" w:eastAsia="宋体" w:cs="宋体"/>
          <w:color w:val="auto"/>
          <w:sz w:val="21"/>
          <w:szCs w:val="21"/>
        </w:rPr>
        <w:t>。</w:t>
      </w:r>
    </w:p>
    <w:p w14:paraId="59560E36">
      <w:pPr>
        <w:pStyle w:val="6"/>
        <w:keepNext w:val="0"/>
        <w:keepLines w:val="0"/>
        <w:numPr>
          <w:ilvl w:val="1"/>
          <w:numId w:val="10"/>
        </w:numPr>
        <w:tabs>
          <w:tab w:val="left" w:pos="1142"/>
        </w:tabs>
        <w:autoSpaceDE w:val="0"/>
        <w:autoSpaceDN w:val="0"/>
        <w:spacing w:before="1"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技术资料和保密义务</w:t>
      </w:r>
    </w:p>
    <w:p w14:paraId="4E9ADDD9">
      <w:pPr>
        <w:pStyle w:val="38"/>
        <w:numPr>
          <w:ilvl w:val="2"/>
          <w:numId w:val="10"/>
        </w:numPr>
        <w:tabs>
          <w:tab w:val="left" w:pos="1327"/>
        </w:tabs>
        <w:spacing w:before="160" w:line="360" w:lineRule="auto"/>
        <w:ind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乙方有权依据合同约定和项目需要，向甲方了解有关情况，调阅有关</w:t>
      </w:r>
      <w:r>
        <w:rPr>
          <w:rFonts w:hint="eastAsia" w:ascii="宋体" w:hAnsi="宋体" w:eastAsia="宋体" w:cs="宋体"/>
          <w:color w:val="auto"/>
          <w:sz w:val="21"/>
          <w:szCs w:val="21"/>
        </w:rPr>
        <w:t>资料等，甲方应予积极配合；</w:t>
      </w:r>
    </w:p>
    <w:p w14:paraId="4A196611">
      <w:pPr>
        <w:pStyle w:val="38"/>
        <w:numPr>
          <w:ilvl w:val="0"/>
          <w:numId w:val="0"/>
        </w:numPr>
        <w:tabs>
          <w:tab w:val="left" w:pos="1315"/>
        </w:tabs>
        <w:spacing w:before="2" w:line="360" w:lineRule="auto"/>
        <w:ind w:leftChars="20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2.6.2</w:t>
      </w:r>
      <w:r>
        <w:rPr>
          <w:rFonts w:hint="eastAsia" w:ascii="宋体" w:hAnsi="宋体" w:eastAsia="宋体" w:cs="宋体"/>
          <w:color w:val="auto"/>
          <w:sz w:val="21"/>
          <w:szCs w:val="21"/>
        </w:rPr>
        <w:t>乙方有义务妥善保管和保护由甲方提供的前款信息和资料等；</w:t>
      </w:r>
    </w:p>
    <w:p w14:paraId="5885DE92">
      <w:pPr>
        <w:pStyle w:val="38"/>
        <w:numPr>
          <w:ilvl w:val="0"/>
          <w:numId w:val="0"/>
        </w:numPr>
        <w:tabs>
          <w:tab w:val="left" w:pos="1327"/>
        </w:tabs>
        <w:spacing w:before="160" w:line="360" w:lineRule="auto"/>
        <w:ind w:leftChars="200" w:right="355" w:rightChars="0" w:firstLine="208" w:firstLineChars="100"/>
        <w:jc w:val="both"/>
        <w:rPr>
          <w:rFonts w:hint="eastAsia" w:ascii="宋体" w:hAnsi="宋体" w:eastAsia="宋体" w:cs="宋体"/>
          <w:color w:val="auto"/>
          <w:sz w:val="21"/>
          <w:szCs w:val="21"/>
        </w:rPr>
      </w:pPr>
      <w:r>
        <w:rPr>
          <w:rFonts w:hint="eastAsia" w:ascii="宋体" w:hAnsi="宋体" w:cs="宋体"/>
          <w:color w:val="auto"/>
          <w:spacing w:val="-1"/>
          <w:sz w:val="21"/>
          <w:szCs w:val="21"/>
          <w:lang w:val="en-US" w:eastAsia="zh-CN"/>
        </w:rPr>
        <w:t>2.6.3</w:t>
      </w:r>
      <w:r>
        <w:rPr>
          <w:rFonts w:hint="eastAsia" w:ascii="宋体" w:hAnsi="宋体" w:eastAsia="宋体" w:cs="宋体"/>
          <w:color w:val="auto"/>
          <w:spacing w:val="-1"/>
          <w:sz w:val="21"/>
          <w:szCs w:val="21"/>
        </w:rPr>
        <w:t>除非依照法律规定或者对方当事人的书面同意，任何一方均应保证不</w:t>
      </w:r>
      <w:r>
        <w:rPr>
          <w:rFonts w:hint="eastAsia" w:ascii="宋体" w:hAnsi="宋体" w:eastAsia="宋体" w:cs="宋体"/>
          <w:color w:val="auto"/>
          <w:sz w:val="21"/>
          <w:szCs w:val="21"/>
        </w:rPr>
        <w:t>向任何第三方提供或披露有关合同的或者履行合同过程中知悉的对方当事人任</w:t>
      </w:r>
      <w:r>
        <w:rPr>
          <w:rFonts w:hint="eastAsia" w:ascii="宋体" w:hAnsi="宋体" w:eastAsia="宋体" w:cs="宋体"/>
          <w:color w:val="auto"/>
          <w:spacing w:val="-7"/>
          <w:sz w:val="21"/>
          <w:szCs w:val="21"/>
        </w:rPr>
        <w:t>何未公开的信息和资料，包括但不限于技术情报、技术资料、商业秘密和商业信</w:t>
      </w:r>
      <w:r>
        <w:rPr>
          <w:rFonts w:hint="eastAsia" w:ascii="宋体" w:hAnsi="宋体" w:eastAsia="宋体" w:cs="宋体"/>
          <w:color w:val="auto"/>
          <w:spacing w:val="-12"/>
          <w:sz w:val="21"/>
          <w:szCs w:val="21"/>
        </w:rPr>
        <w:t>息等，并采取一切合理和必要措施和方式防止任何第三方接触到对方当事人的上</w:t>
      </w:r>
      <w:r>
        <w:rPr>
          <w:rFonts w:hint="eastAsia" w:ascii="宋体" w:hAnsi="宋体" w:eastAsia="宋体" w:cs="宋体"/>
          <w:color w:val="auto"/>
          <w:sz w:val="21"/>
          <w:szCs w:val="21"/>
        </w:rPr>
        <w:t>述保密信息和资料。</w:t>
      </w:r>
    </w:p>
    <w:p w14:paraId="5DF697D0">
      <w:pPr>
        <w:pStyle w:val="6"/>
        <w:keepNext w:val="0"/>
        <w:keepLines w:val="0"/>
        <w:numPr>
          <w:ilvl w:val="1"/>
          <w:numId w:val="10"/>
        </w:numPr>
        <w:tabs>
          <w:tab w:val="left" w:pos="1142"/>
        </w:tabs>
        <w:autoSpaceDE w:val="0"/>
        <w:autoSpaceDN w:val="0"/>
        <w:spacing w:before="4"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质量保证</w:t>
      </w:r>
    </w:p>
    <w:p w14:paraId="552AC8DD">
      <w:pPr>
        <w:pStyle w:val="38"/>
        <w:numPr>
          <w:ilvl w:val="2"/>
          <w:numId w:val="10"/>
        </w:numPr>
        <w:tabs>
          <w:tab w:val="left" w:pos="1327"/>
        </w:tabs>
        <w:spacing w:before="160" w:line="360" w:lineRule="auto"/>
        <w:ind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乙方应建立和完善履行合同的内部质量保证体系，并提供相关内部规</w:t>
      </w:r>
      <w:r>
        <w:rPr>
          <w:rFonts w:hint="eastAsia" w:ascii="宋体" w:hAnsi="宋体" w:eastAsia="宋体" w:cs="宋体"/>
          <w:color w:val="auto"/>
          <w:sz w:val="21"/>
          <w:szCs w:val="21"/>
        </w:rPr>
        <w:t>章制度给甲方，以便甲方进行监督检查；</w:t>
      </w:r>
    </w:p>
    <w:p w14:paraId="4A62AAF5">
      <w:pPr>
        <w:pStyle w:val="38"/>
        <w:numPr>
          <w:ilvl w:val="2"/>
          <w:numId w:val="10"/>
        </w:numPr>
        <w:tabs>
          <w:tab w:val="left" w:pos="1327"/>
        </w:tabs>
        <w:spacing w:before="1" w:line="360" w:lineRule="auto"/>
        <w:ind w:right="357" w:firstLine="434"/>
        <w:jc w:val="both"/>
        <w:rPr>
          <w:rFonts w:hint="eastAsia" w:ascii="宋体" w:hAnsi="宋体" w:eastAsia="宋体" w:cs="宋体"/>
          <w:color w:val="auto"/>
          <w:sz w:val="21"/>
          <w:szCs w:val="21"/>
        </w:rPr>
      </w:pPr>
      <w:r>
        <w:rPr>
          <w:rFonts w:hint="eastAsia" w:ascii="宋体" w:hAnsi="宋体" w:eastAsia="宋体" w:cs="宋体"/>
          <w:color w:val="auto"/>
          <w:spacing w:val="-1"/>
          <w:sz w:val="21"/>
          <w:szCs w:val="21"/>
        </w:rPr>
        <w:t>乙方应保证履行合同的人员数量和素质、软件和硬件设备的配置、场</w:t>
      </w:r>
      <w:r>
        <w:rPr>
          <w:rFonts w:hint="eastAsia" w:ascii="宋体" w:hAnsi="宋体" w:eastAsia="宋体" w:cs="宋体"/>
          <w:color w:val="auto"/>
          <w:sz w:val="21"/>
          <w:szCs w:val="21"/>
        </w:rPr>
        <w:t>地、环境和设施等满足全面履行合同的要求，并应接受甲方的监督检查。</w:t>
      </w:r>
    </w:p>
    <w:p w14:paraId="1A03A5D1">
      <w:pPr>
        <w:pStyle w:val="6"/>
        <w:keepNext w:val="0"/>
        <w:keepLines w:val="0"/>
        <w:numPr>
          <w:ilvl w:val="1"/>
          <w:numId w:val="10"/>
        </w:numPr>
        <w:tabs>
          <w:tab w:val="left" w:pos="1142"/>
        </w:tabs>
        <w:autoSpaceDE w:val="0"/>
        <w:autoSpaceDN w:val="0"/>
        <w:spacing w:before="2"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延迟履行</w:t>
      </w:r>
    </w:p>
    <w:p w14:paraId="39E23DCD">
      <w:pPr>
        <w:pStyle w:val="12"/>
        <w:spacing w:before="161" w:line="360" w:lineRule="auto"/>
        <w:ind w:right="239" w:firstLine="434"/>
        <w:rPr>
          <w:rFonts w:hint="eastAsia" w:ascii="宋体" w:hAnsi="宋体" w:eastAsia="宋体" w:cs="宋体"/>
          <w:color w:val="auto"/>
          <w:sz w:val="21"/>
          <w:szCs w:val="21"/>
        </w:rPr>
      </w:pPr>
      <w:r>
        <w:rPr>
          <w:rFonts w:hint="eastAsia" w:ascii="宋体" w:hAnsi="宋体" w:eastAsia="宋体" w:cs="宋体"/>
          <w:color w:val="auto"/>
          <w:spacing w:val="-4"/>
          <w:sz w:val="21"/>
          <w:szCs w:val="21"/>
        </w:rPr>
        <w:t>在合同履行过程中，如果乙方遇到不能按时提供服务的情况，应及时以书面</w:t>
      </w:r>
      <w:r>
        <w:rPr>
          <w:rFonts w:hint="eastAsia" w:ascii="宋体" w:hAnsi="宋体" w:eastAsia="宋体" w:cs="宋体"/>
          <w:color w:val="auto"/>
          <w:spacing w:val="-16"/>
          <w:sz w:val="21"/>
          <w:szCs w:val="21"/>
        </w:rPr>
        <w:t xml:space="preserve">形式将不能按时提供服务的理由、预期延误时间通知甲方；甲方收到乙方通知后， </w:t>
      </w:r>
      <w:r>
        <w:rPr>
          <w:rFonts w:hint="eastAsia" w:ascii="宋体" w:hAnsi="宋体" w:eastAsia="宋体" w:cs="宋体"/>
          <w:color w:val="auto"/>
          <w:sz w:val="21"/>
          <w:szCs w:val="21"/>
        </w:rPr>
        <w:t>认为其理由正当的，可以书面形式酌情同意乙方可以延长履行的具体时间。</w:t>
      </w:r>
    </w:p>
    <w:p w14:paraId="2D5D33C5">
      <w:pPr>
        <w:pStyle w:val="6"/>
        <w:keepNext w:val="0"/>
        <w:keepLines w:val="0"/>
        <w:numPr>
          <w:ilvl w:val="1"/>
          <w:numId w:val="10"/>
        </w:numPr>
        <w:tabs>
          <w:tab w:val="left" w:pos="1142"/>
        </w:tabs>
        <w:autoSpaceDE w:val="0"/>
        <w:autoSpaceDN w:val="0"/>
        <w:spacing w:before="1" w:after="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合同变更</w:t>
      </w:r>
    </w:p>
    <w:p w14:paraId="3BBBBFA7">
      <w:pPr>
        <w:pStyle w:val="38"/>
        <w:numPr>
          <w:ilvl w:val="2"/>
          <w:numId w:val="10"/>
        </w:numPr>
        <w:tabs>
          <w:tab w:val="left" w:pos="1327"/>
        </w:tabs>
        <w:spacing w:before="161" w:line="360" w:lineRule="auto"/>
        <w:ind w:right="357" w:firstLine="434"/>
        <w:rPr>
          <w:rFonts w:hint="eastAsia" w:ascii="宋体" w:hAnsi="宋体" w:eastAsia="宋体" w:cs="宋体"/>
          <w:color w:val="auto"/>
          <w:sz w:val="21"/>
          <w:szCs w:val="21"/>
        </w:rPr>
      </w:pPr>
      <w:r>
        <w:rPr>
          <w:rFonts w:hint="eastAsia" w:ascii="宋体" w:hAnsi="宋体" w:eastAsia="宋体" w:cs="宋体"/>
          <w:color w:val="auto"/>
          <w:spacing w:val="-1"/>
          <w:sz w:val="21"/>
          <w:szCs w:val="21"/>
        </w:rPr>
        <w:t>双方当事人协商一致，可以签订书面补充合同的形式变更合同，但不</w:t>
      </w:r>
      <w:r>
        <w:rPr>
          <w:rFonts w:hint="eastAsia" w:ascii="宋体" w:hAnsi="宋体" w:eastAsia="宋体" w:cs="宋体"/>
          <w:color w:val="auto"/>
          <w:sz w:val="21"/>
          <w:szCs w:val="21"/>
        </w:rPr>
        <w:t>得违背采购文件确定的事项；</w:t>
      </w:r>
    </w:p>
    <w:p w14:paraId="08B7F781">
      <w:pPr>
        <w:pStyle w:val="38"/>
        <w:numPr>
          <w:ilvl w:val="2"/>
          <w:numId w:val="10"/>
        </w:numPr>
        <w:tabs>
          <w:tab w:val="left" w:pos="1327"/>
        </w:tabs>
        <w:spacing w:before="161" w:line="360" w:lineRule="auto"/>
        <w:ind w:right="357" w:firstLine="434"/>
        <w:rPr>
          <w:rFonts w:hint="eastAsia" w:ascii="宋体" w:hAnsi="宋体" w:eastAsia="宋体" w:cs="宋体"/>
          <w:color w:val="auto"/>
          <w:spacing w:val="-1"/>
          <w:sz w:val="21"/>
          <w:szCs w:val="21"/>
        </w:rPr>
      </w:pPr>
      <w:r>
        <w:rPr>
          <w:rFonts w:hint="eastAsia" w:ascii="宋体" w:hAnsi="宋体" w:eastAsia="宋体" w:cs="宋体"/>
          <w:color w:val="auto"/>
          <w:spacing w:val="-1"/>
          <w:sz w:val="21"/>
          <w:szCs w:val="21"/>
        </w:rPr>
        <w:t>合同继续履行将损害国家利益和社会公共利益的，双方当事人应当以书面形式变更合同。有过错的一方应当承担赔偿责任，双方当事人都有过错的， 各自承担相应的责任。</w:t>
      </w:r>
    </w:p>
    <w:p w14:paraId="67D681C1">
      <w:pPr>
        <w:pStyle w:val="6"/>
        <w:keepNext w:val="0"/>
        <w:keepLines w:val="0"/>
        <w:numPr>
          <w:ilvl w:val="1"/>
          <w:numId w:val="10"/>
        </w:numPr>
        <w:tabs>
          <w:tab w:val="left" w:pos="1262"/>
        </w:tabs>
        <w:autoSpaceDE w:val="0"/>
        <w:autoSpaceDN w:val="0"/>
        <w:spacing w:before="1"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合同转让和分包</w:t>
      </w:r>
    </w:p>
    <w:p w14:paraId="1D2E0042">
      <w:pPr>
        <w:pStyle w:val="12"/>
        <w:spacing w:before="161" w:line="360" w:lineRule="auto"/>
        <w:ind w:right="356" w:firstLine="434"/>
        <w:jc w:val="both"/>
        <w:rPr>
          <w:rFonts w:hint="eastAsia" w:ascii="宋体" w:hAnsi="宋体" w:eastAsia="宋体" w:cs="宋体"/>
          <w:color w:val="auto"/>
          <w:sz w:val="21"/>
          <w:szCs w:val="21"/>
        </w:rPr>
      </w:pPr>
      <w:r>
        <w:rPr>
          <w:rFonts w:hint="eastAsia" w:ascii="宋体" w:hAnsi="宋体" w:eastAsia="宋体" w:cs="宋体"/>
          <w:color w:val="auto"/>
          <w:spacing w:val="-5"/>
          <w:sz w:val="21"/>
          <w:szCs w:val="21"/>
        </w:rPr>
        <w:t>合同的权利义务依法不得转让，但经甲方同意，乙方可以依法采取分包方式</w:t>
      </w:r>
      <w:r>
        <w:rPr>
          <w:rFonts w:hint="eastAsia" w:ascii="宋体" w:hAnsi="宋体" w:eastAsia="宋体" w:cs="宋体"/>
          <w:color w:val="auto"/>
          <w:spacing w:val="-11"/>
          <w:sz w:val="21"/>
          <w:szCs w:val="21"/>
        </w:rPr>
        <w:t>履行合同，即：依法可以将合同项下的部分非主体、非关键性工作分包给他人完</w:t>
      </w:r>
      <w:r>
        <w:rPr>
          <w:rFonts w:hint="eastAsia" w:ascii="宋体" w:hAnsi="宋体" w:eastAsia="宋体" w:cs="宋体"/>
          <w:color w:val="auto"/>
          <w:spacing w:val="-10"/>
          <w:sz w:val="21"/>
          <w:szCs w:val="21"/>
        </w:rPr>
        <w:t>成，接受分包的人应当具备相应的资格条件，并不得再次分包，且乙方应就分包</w:t>
      </w:r>
      <w:r>
        <w:rPr>
          <w:rFonts w:hint="eastAsia" w:ascii="宋体" w:hAnsi="宋体" w:eastAsia="宋体" w:cs="宋体"/>
          <w:color w:val="auto"/>
          <w:sz w:val="21"/>
          <w:szCs w:val="21"/>
        </w:rPr>
        <w:t>项目向甲方负责，并与分包供应商就分包项目向甲方承担连带责任。</w:t>
      </w:r>
    </w:p>
    <w:p w14:paraId="59F0D67C">
      <w:pPr>
        <w:pStyle w:val="6"/>
        <w:keepNext w:val="0"/>
        <w:keepLines w:val="0"/>
        <w:numPr>
          <w:ilvl w:val="1"/>
          <w:numId w:val="10"/>
        </w:numPr>
        <w:tabs>
          <w:tab w:val="left" w:pos="1262"/>
        </w:tabs>
        <w:autoSpaceDE w:val="0"/>
        <w:autoSpaceDN w:val="0"/>
        <w:spacing w:before="3"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不可抗力</w:t>
      </w:r>
    </w:p>
    <w:p w14:paraId="2FEB4B0A">
      <w:pPr>
        <w:pStyle w:val="38"/>
        <w:numPr>
          <w:ilvl w:val="2"/>
          <w:numId w:val="10"/>
        </w:numPr>
        <w:tabs>
          <w:tab w:val="left" w:pos="1435"/>
        </w:tabs>
        <w:spacing w:before="160" w:line="360" w:lineRule="auto"/>
        <w:ind w:right="361" w:firstLine="434"/>
        <w:jc w:val="both"/>
        <w:rPr>
          <w:rFonts w:hint="eastAsia" w:ascii="宋体" w:hAnsi="宋体" w:eastAsia="宋体" w:cs="宋体"/>
          <w:color w:val="auto"/>
          <w:sz w:val="21"/>
          <w:szCs w:val="21"/>
        </w:rPr>
      </w:pPr>
      <w:r>
        <w:rPr>
          <w:rFonts w:hint="eastAsia" w:ascii="宋体" w:hAnsi="宋体" w:eastAsia="宋体" w:cs="宋体"/>
          <w:color w:val="auto"/>
          <w:spacing w:val="-7"/>
          <w:sz w:val="21"/>
          <w:szCs w:val="21"/>
        </w:rPr>
        <w:t>如果任何一方遭遇法律规定的不可抗力，致使合同履行受阻时，履行</w:t>
      </w:r>
      <w:r>
        <w:rPr>
          <w:rFonts w:hint="eastAsia" w:ascii="宋体" w:hAnsi="宋体" w:eastAsia="宋体" w:cs="宋体"/>
          <w:color w:val="auto"/>
          <w:sz w:val="21"/>
          <w:szCs w:val="21"/>
        </w:rPr>
        <w:t>合同的期限应予延长，延长的期限应相当于不可抗力所影响的时间；</w:t>
      </w:r>
    </w:p>
    <w:p w14:paraId="799AC742">
      <w:pPr>
        <w:pStyle w:val="38"/>
        <w:numPr>
          <w:ilvl w:val="0"/>
          <w:numId w:val="0"/>
        </w:numPr>
        <w:tabs>
          <w:tab w:val="left" w:pos="1435"/>
        </w:tabs>
        <w:spacing w:before="1" w:line="360" w:lineRule="auto"/>
        <w:ind w:leftChars="20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2.11.2</w:t>
      </w:r>
      <w:r>
        <w:rPr>
          <w:rFonts w:hint="eastAsia" w:ascii="宋体" w:hAnsi="宋体" w:eastAsia="宋体" w:cs="宋体"/>
          <w:color w:val="auto"/>
          <w:sz w:val="21"/>
          <w:szCs w:val="21"/>
        </w:rPr>
        <w:t>因不可抗力致使不能实现合同目的的，当事人可以解除合同；</w:t>
      </w:r>
    </w:p>
    <w:p w14:paraId="15939B8D">
      <w:pPr>
        <w:pStyle w:val="38"/>
        <w:numPr>
          <w:ilvl w:val="0"/>
          <w:numId w:val="0"/>
        </w:numPr>
        <w:tabs>
          <w:tab w:val="left" w:pos="1435"/>
        </w:tabs>
        <w:spacing w:before="151" w:line="360" w:lineRule="auto"/>
        <w:ind w:leftChars="200" w:right="356" w:rightChars="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2.11.3</w:t>
      </w:r>
      <w:r>
        <w:rPr>
          <w:rFonts w:hint="eastAsia" w:ascii="宋体" w:hAnsi="宋体" w:eastAsia="宋体" w:cs="宋体"/>
          <w:color w:val="auto"/>
          <w:sz w:val="21"/>
          <w:szCs w:val="21"/>
        </w:rPr>
        <w:t>因不可抗力致使合同有变更必要的，双方当事人应在</w:t>
      </w:r>
      <w:r>
        <w:rPr>
          <w:rFonts w:hint="eastAsia" w:ascii="宋体" w:hAnsi="宋体" w:eastAsia="宋体" w:cs="宋体"/>
          <w:b/>
          <w:color w:val="auto"/>
          <w:w w:val="95"/>
          <w:sz w:val="21"/>
          <w:szCs w:val="21"/>
          <w:u w:val="single"/>
        </w:rPr>
        <w:t>合同专用条款</w:t>
      </w:r>
      <w:r>
        <w:rPr>
          <w:rFonts w:hint="eastAsia" w:ascii="宋体" w:hAnsi="宋体" w:eastAsia="宋体" w:cs="宋体"/>
          <w:color w:val="auto"/>
          <w:sz w:val="21"/>
          <w:szCs w:val="21"/>
        </w:rPr>
        <w:t>约</w:t>
      </w:r>
      <w:r>
        <w:rPr>
          <w:rFonts w:hint="eastAsia" w:ascii="宋体" w:hAnsi="宋体" w:eastAsia="宋体" w:cs="宋体"/>
          <w:color w:val="auto"/>
          <w:spacing w:val="-16"/>
          <w:w w:val="95"/>
          <w:sz w:val="21"/>
          <w:szCs w:val="21"/>
        </w:rPr>
        <w:t xml:space="preserve"> </w:t>
      </w:r>
      <w:r>
        <w:rPr>
          <w:rFonts w:hint="eastAsia" w:ascii="宋体" w:hAnsi="宋体" w:eastAsia="宋体" w:cs="宋体"/>
          <w:color w:val="auto"/>
          <w:sz w:val="21"/>
          <w:szCs w:val="21"/>
        </w:rPr>
        <w:t>定时间内以书面形式变更合同；</w:t>
      </w:r>
    </w:p>
    <w:p w14:paraId="59B72FDC">
      <w:pPr>
        <w:pStyle w:val="38"/>
        <w:numPr>
          <w:ilvl w:val="0"/>
          <w:numId w:val="0"/>
        </w:numPr>
        <w:tabs>
          <w:tab w:val="left" w:pos="1435"/>
        </w:tabs>
        <w:spacing w:line="360" w:lineRule="auto"/>
        <w:ind w:leftChars="200" w:right="356" w:rightChars="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2.11.4</w:t>
      </w:r>
      <w:r>
        <w:rPr>
          <w:rFonts w:hint="eastAsia" w:ascii="宋体" w:hAnsi="宋体" w:eastAsia="宋体" w:cs="宋体"/>
          <w:color w:val="auto"/>
          <w:sz w:val="21"/>
          <w:szCs w:val="21"/>
        </w:rPr>
        <w:t>受不可抗力影响的一方在不可抗力发生后，应在</w:t>
      </w:r>
      <w:r>
        <w:rPr>
          <w:rFonts w:hint="eastAsia" w:ascii="宋体" w:hAnsi="宋体" w:eastAsia="宋体" w:cs="宋体"/>
          <w:b/>
          <w:color w:val="auto"/>
          <w:w w:val="95"/>
          <w:sz w:val="21"/>
          <w:szCs w:val="21"/>
          <w:u w:val="single"/>
        </w:rPr>
        <w:t>合同专用条款</w:t>
      </w:r>
      <w:r>
        <w:rPr>
          <w:rFonts w:hint="eastAsia" w:ascii="宋体" w:hAnsi="宋体" w:eastAsia="宋体" w:cs="宋体"/>
          <w:color w:val="auto"/>
          <w:sz w:val="21"/>
          <w:szCs w:val="21"/>
        </w:rPr>
        <w:t>约定时 间内以书面形式通知对方当事人，并在</w:t>
      </w:r>
      <w:r>
        <w:rPr>
          <w:rFonts w:hint="eastAsia" w:ascii="宋体" w:hAnsi="宋体" w:eastAsia="宋体" w:cs="宋体"/>
          <w:b/>
          <w:color w:val="auto"/>
          <w:w w:val="95"/>
          <w:sz w:val="21"/>
          <w:szCs w:val="21"/>
          <w:u w:val="single"/>
        </w:rPr>
        <w:t>合同专用条款</w:t>
      </w:r>
      <w:r>
        <w:rPr>
          <w:rFonts w:hint="eastAsia" w:ascii="宋体" w:hAnsi="宋体" w:eastAsia="宋体" w:cs="宋体"/>
          <w:color w:val="auto"/>
          <w:sz w:val="21"/>
          <w:szCs w:val="21"/>
        </w:rPr>
        <w:t>约定时间内，将有关部门出  具的证明文件送达对方当事人。</w:t>
      </w:r>
    </w:p>
    <w:p w14:paraId="57AFEC6D">
      <w:pPr>
        <w:pStyle w:val="6"/>
        <w:keepNext w:val="0"/>
        <w:keepLines w:val="0"/>
        <w:numPr>
          <w:ilvl w:val="1"/>
          <w:numId w:val="10"/>
        </w:numPr>
        <w:tabs>
          <w:tab w:val="left" w:pos="1262"/>
        </w:tabs>
        <w:autoSpaceDE w:val="0"/>
        <w:autoSpaceDN w:val="0"/>
        <w:spacing w:before="11"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税费</w:t>
      </w:r>
    </w:p>
    <w:p w14:paraId="6D04C38F">
      <w:pPr>
        <w:pStyle w:val="12"/>
        <w:spacing w:before="161" w:line="360" w:lineRule="auto"/>
        <w:ind w:left="654"/>
        <w:rPr>
          <w:rFonts w:hint="eastAsia" w:ascii="宋体" w:hAnsi="宋体" w:eastAsia="宋体" w:cs="宋体"/>
          <w:color w:val="auto"/>
          <w:sz w:val="21"/>
          <w:szCs w:val="21"/>
        </w:rPr>
      </w:pPr>
      <w:r>
        <w:rPr>
          <w:rFonts w:hint="eastAsia" w:ascii="宋体" w:hAnsi="宋体" w:eastAsia="宋体" w:cs="宋体"/>
          <w:color w:val="auto"/>
          <w:sz w:val="21"/>
          <w:szCs w:val="21"/>
        </w:rPr>
        <w:t>与合同有关的一切税费，均按照中华人民共和国法律的相关规定缴纳。</w:t>
      </w:r>
    </w:p>
    <w:p w14:paraId="04961042">
      <w:pPr>
        <w:pStyle w:val="6"/>
        <w:keepNext w:val="0"/>
        <w:keepLines w:val="0"/>
        <w:numPr>
          <w:ilvl w:val="1"/>
          <w:numId w:val="10"/>
        </w:numPr>
        <w:tabs>
          <w:tab w:val="left" w:pos="1262"/>
        </w:tabs>
        <w:autoSpaceDE w:val="0"/>
        <w:autoSpaceDN w:val="0"/>
        <w:spacing w:before="160"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乙方破产</w:t>
      </w:r>
    </w:p>
    <w:p w14:paraId="25AC530A">
      <w:pPr>
        <w:pStyle w:val="12"/>
        <w:spacing w:before="161" w:line="360" w:lineRule="auto"/>
        <w:ind w:right="358" w:firstLine="434"/>
        <w:jc w:val="both"/>
        <w:rPr>
          <w:rFonts w:hint="eastAsia" w:ascii="宋体" w:hAnsi="宋体" w:eastAsia="宋体" w:cs="宋体"/>
          <w:color w:val="auto"/>
          <w:sz w:val="21"/>
          <w:szCs w:val="21"/>
        </w:rPr>
      </w:pPr>
      <w:r>
        <w:rPr>
          <w:rFonts w:hint="eastAsia" w:ascii="宋体" w:hAnsi="宋体" w:eastAsia="宋体" w:cs="宋体"/>
          <w:color w:val="auto"/>
          <w:spacing w:val="-4"/>
          <w:sz w:val="21"/>
          <w:szCs w:val="21"/>
        </w:rPr>
        <w:t>如果乙方破产导致合同无法履行时，甲方可以书面形式通知乙方终止合同且</w:t>
      </w:r>
      <w:r>
        <w:rPr>
          <w:rFonts w:hint="eastAsia" w:ascii="宋体" w:hAnsi="宋体" w:eastAsia="宋体" w:cs="宋体"/>
          <w:color w:val="auto"/>
          <w:spacing w:val="-9"/>
          <w:sz w:val="21"/>
          <w:szCs w:val="21"/>
        </w:rPr>
        <w:t>不给予乙方任何补偿和赔偿，但合同的终止不损害或不影响甲方已经采取或将要</w:t>
      </w:r>
      <w:r>
        <w:rPr>
          <w:rFonts w:hint="eastAsia" w:ascii="宋体" w:hAnsi="宋体" w:eastAsia="宋体" w:cs="宋体"/>
          <w:color w:val="auto"/>
          <w:sz w:val="21"/>
          <w:szCs w:val="21"/>
        </w:rPr>
        <w:t>采取的任何要求乙方支付违约金、赔偿损失等的行动或补救措施的权利。</w:t>
      </w:r>
    </w:p>
    <w:p w14:paraId="2338D3C2">
      <w:pPr>
        <w:pStyle w:val="6"/>
        <w:keepNext w:val="0"/>
        <w:keepLines w:val="0"/>
        <w:numPr>
          <w:ilvl w:val="1"/>
          <w:numId w:val="10"/>
        </w:numPr>
        <w:tabs>
          <w:tab w:val="left" w:pos="1262"/>
        </w:tabs>
        <w:autoSpaceDE w:val="0"/>
        <w:autoSpaceDN w:val="0"/>
        <w:spacing w:before="2"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合同中止、终止</w:t>
      </w:r>
    </w:p>
    <w:p w14:paraId="2F3FB11D">
      <w:pPr>
        <w:pStyle w:val="38"/>
        <w:numPr>
          <w:ilvl w:val="0"/>
          <w:numId w:val="0"/>
        </w:numPr>
        <w:tabs>
          <w:tab w:val="left" w:pos="1435"/>
        </w:tabs>
        <w:spacing w:before="161" w:line="360" w:lineRule="auto"/>
        <w:ind w:leftChars="2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2.14.1</w:t>
      </w:r>
      <w:r>
        <w:rPr>
          <w:rFonts w:hint="eastAsia" w:ascii="宋体" w:hAnsi="宋体" w:eastAsia="宋体" w:cs="宋体"/>
          <w:color w:val="auto"/>
          <w:sz w:val="21"/>
          <w:szCs w:val="21"/>
        </w:rPr>
        <w:t>双方当事人不得擅自中止或者终止合同；</w:t>
      </w:r>
    </w:p>
    <w:p w14:paraId="53AD1954">
      <w:pPr>
        <w:pStyle w:val="38"/>
        <w:numPr>
          <w:ilvl w:val="0"/>
          <w:numId w:val="0"/>
        </w:numPr>
        <w:tabs>
          <w:tab w:val="left" w:pos="1435"/>
        </w:tabs>
        <w:spacing w:before="160" w:line="360" w:lineRule="auto"/>
        <w:ind w:leftChars="200" w:right="357" w:rightChars="0"/>
        <w:jc w:val="both"/>
        <w:rPr>
          <w:rFonts w:hint="eastAsia" w:ascii="宋体" w:hAnsi="宋体" w:eastAsia="宋体" w:cs="宋体"/>
          <w:color w:val="auto"/>
          <w:sz w:val="21"/>
          <w:szCs w:val="21"/>
        </w:rPr>
      </w:pPr>
      <w:r>
        <w:rPr>
          <w:rFonts w:hint="eastAsia" w:ascii="宋体" w:hAnsi="宋体" w:cs="宋体"/>
          <w:color w:val="auto"/>
          <w:spacing w:val="-6"/>
          <w:sz w:val="21"/>
          <w:szCs w:val="21"/>
          <w:lang w:val="en-US" w:eastAsia="zh-CN"/>
        </w:rPr>
        <w:t>2.14.2</w:t>
      </w:r>
      <w:r>
        <w:rPr>
          <w:rFonts w:hint="eastAsia" w:ascii="宋体" w:hAnsi="宋体" w:eastAsia="宋体" w:cs="宋体"/>
          <w:color w:val="auto"/>
          <w:spacing w:val="-6"/>
          <w:sz w:val="21"/>
          <w:szCs w:val="21"/>
        </w:rPr>
        <w:t>合同继续履行将损害国家利益和社会公共利益的，双方当事人应当中</w:t>
      </w:r>
      <w:r>
        <w:rPr>
          <w:rFonts w:hint="eastAsia" w:ascii="宋体" w:hAnsi="宋体" w:eastAsia="宋体" w:cs="宋体"/>
          <w:color w:val="auto"/>
          <w:spacing w:val="-8"/>
          <w:sz w:val="21"/>
          <w:szCs w:val="21"/>
        </w:rPr>
        <w:t>止或者终止合同。有过错的一方应当承担赔偿责任，双方当事人都有过错的，各</w:t>
      </w:r>
      <w:r>
        <w:rPr>
          <w:rFonts w:hint="eastAsia" w:ascii="宋体" w:hAnsi="宋体" w:eastAsia="宋体" w:cs="宋体"/>
          <w:color w:val="auto"/>
          <w:sz w:val="21"/>
          <w:szCs w:val="21"/>
        </w:rPr>
        <w:t>自承担相应的责任。</w:t>
      </w:r>
    </w:p>
    <w:p w14:paraId="43160788">
      <w:pPr>
        <w:pStyle w:val="6"/>
        <w:keepNext w:val="0"/>
        <w:keepLines w:val="0"/>
        <w:numPr>
          <w:ilvl w:val="1"/>
          <w:numId w:val="10"/>
        </w:numPr>
        <w:tabs>
          <w:tab w:val="left" w:pos="1262"/>
        </w:tabs>
        <w:autoSpaceDE w:val="0"/>
        <w:autoSpaceDN w:val="0"/>
        <w:spacing w:before="2"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检验和验收</w:t>
      </w:r>
    </w:p>
    <w:p w14:paraId="2F089E25">
      <w:pPr>
        <w:pStyle w:val="38"/>
        <w:numPr>
          <w:ilvl w:val="2"/>
          <w:numId w:val="10"/>
        </w:numPr>
        <w:tabs>
          <w:tab w:val="left" w:pos="1435"/>
        </w:tabs>
        <w:spacing w:before="158" w:line="360" w:lineRule="auto"/>
        <w:ind w:right="357" w:firstLine="434"/>
        <w:jc w:val="both"/>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rPr>
        <w:t>乙方按照合同专用条款的约定，定期提交服务报告，甲方按照</w:t>
      </w:r>
      <w:r>
        <w:rPr>
          <w:rFonts w:hint="eastAsia" w:ascii="宋体" w:hAnsi="宋体" w:eastAsia="宋体" w:cs="宋体"/>
          <w:b/>
          <w:color w:val="auto"/>
          <w:spacing w:val="-8"/>
          <w:sz w:val="21"/>
          <w:szCs w:val="21"/>
          <w:u w:val="single"/>
        </w:rPr>
        <w:t>合同专用条款</w:t>
      </w:r>
      <w:r>
        <w:rPr>
          <w:rFonts w:hint="eastAsia" w:ascii="宋体" w:hAnsi="宋体" w:eastAsia="宋体" w:cs="宋体"/>
          <w:color w:val="auto"/>
          <w:spacing w:val="-8"/>
          <w:sz w:val="21"/>
          <w:szCs w:val="21"/>
        </w:rPr>
        <w:t>的约定进行定期验收；</w:t>
      </w:r>
    </w:p>
    <w:p w14:paraId="0BF081B2">
      <w:pPr>
        <w:pStyle w:val="38"/>
        <w:numPr>
          <w:ilvl w:val="2"/>
          <w:numId w:val="10"/>
        </w:numPr>
        <w:tabs>
          <w:tab w:val="left" w:pos="1435"/>
        </w:tabs>
        <w:spacing w:before="158" w:line="360" w:lineRule="auto"/>
        <w:ind w:right="357" w:firstLine="434"/>
        <w:jc w:val="both"/>
        <w:rPr>
          <w:rFonts w:hint="eastAsia" w:ascii="宋体" w:hAnsi="宋体" w:eastAsia="宋体" w:cs="宋体"/>
          <w:color w:val="auto"/>
          <w:sz w:val="21"/>
          <w:szCs w:val="21"/>
        </w:rPr>
      </w:pPr>
      <w:r>
        <w:rPr>
          <w:rFonts w:hint="eastAsia" w:ascii="宋体" w:hAnsi="宋体" w:eastAsia="宋体" w:cs="宋体"/>
          <w:color w:val="auto"/>
          <w:spacing w:val="-8"/>
          <w:sz w:val="21"/>
          <w:szCs w:val="21"/>
        </w:rPr>
        <w:t>合同期满或者履行完毕后，甲方有权组织</w:t>
      </w:r>
      <w:r>
        <w:rPr>
          <w:rFonts w:hint="eastAsia" w:ascii="宋体" w:hAnsi="宋体" w:eastAsia="宋体" w:cs="宋体"/>
          <w:color w:val="auto"/>
          <w:sz w:val="21"/>
          <w:szCs w:val="21"/>
        </w:rPr>
        <w:t>（</w:t>
      </w:r>
      <w:r>
        <w:rPr>
          <w:rFonts w:hint="eastAsia" w:ascii="宋体" w:hAnsi="宋体" w:eastAsia="宋体" w:cs="宋体"/>
          <w:color w:val="auto"/>
          <w:spacing w:val="-2"/>
          <w:sz w:val="21"/>
          <w:szCs w:val="21"/>
        </w:rPr>
        <w:t>包括依法邀请国家认可的</w:t>
      </w:r>
      <w:r>
        <w:rPr>
          <w:rFonts w:hint="eastAsia" w:ascii="宋体" w:hAnsi="宋体" w:eastAsia="宋体" w:cs="宋体"/>
          <w:color w:val="auto"/>
          <w:sz w:val="21"/>
          <w:szCs w:val="21"/>
        </w:rPr>
        <w:t>质量检测机构参加</w:t>
      </w:r>
      <w:r>
        <w:rPr>
          <w:rFonts w:hint="eastAsia" w:ascii="宋体" w:hAnsi="宋体" w:eastAsia="宋体" w:cs="宋体"/>
          <w:color w:val="auto"/>
          <w:spacing w:val="-24"/>
          <w:sz w:val="21"/>
          <w:szCs w:val="21"/>
        </w:rPr>
        <w:t>）</w:t>
      </w:r>
      <w:r>
        <w:rPr>
          <w:rFonts w:hint="eastAsia" w:ascii="宋体" w:hAnsi="宋体" w:eastAsia="宋体" w:cs="宋体"/>
          <w:color w:val="auto"/>
          <w:spacing w:val="-7"/>
          <w:sz w:val="21"/>
          <w:szCs w:val="21"/>
        </w:rPr>
        <w:t>对乙方履约的验收，即：按照合同约定的标准，组织对乙方</w:t>
      </w:r>
      <w:r>
        <w:rPr>
          <w:rFonts w:hint="eastAsia" w:ascii="宋体" w:hAnsi="宋体" w:eastAsia="宋体" w:cs="宋体"/>
          <w:color w:val="auto"/>
          <w:spacing w:val="-8"/>
          <w:sz w:val="21"/>
          <w:szCs w:val="21"/>
        </w:rPr>
        <w:t>履约情况的验收，并出具验收书；向社会公众提供的公共服务项目，验收时应当</w:t>
      </w:r>
      <w:r>
        <w:rPr>
          <w:rFonts w:hint="eastAsia" w:ascii="宋体" w:hAnsi="宋体" w:eastAsia="宋体" w:cs="宋体"/>
          <w:color w:val="auto"/>
          <w:sz w:val="21"/>
          <w:szCs w:val="21"/>
        </w:rPr>
        <w:t>邀请服务对象参与并出具意见，验收结果应当向社会公告；</w:t>
      </w:r>
    </w:p>
    <w:p w14:paraId="0602F5F0">
      <w:pPr>
        <w:pStyle w:val="38"/>
        <w:numPr>
          <w:ilvl w:val="2"/>
          <w:numId w:val="10"/>
        </w:numPr>
        <w:tabs>
          <w:tab w:val="left" w:pos="1435"/>
        </w:tabs>
        <w:spacing w:line="360" w:lineRule="auto"/>
        <w:ind w:right="358" w:firstLine="434"/>
        <w:jc w:val="both"/>
        <w:rPr>
          <w:rFonts w:hint="eastAsia" w:ascii="宋体" w:hAnsi="宋体" w:eastAsia="宋体" w:cs="宋体"/>
          <w:color w:val="auto"/>
          <w:sz w:val="21"/>
          <w:szCs w:val="21"/>
        </w:rPr>
      </w:pPr>
      <w:r>
        <w:rPr>
          <w:rFonts w:hint="eastAsia" w:ascii="宋体" w:hAnsi="宋体" w:eastAsia="宋体" w:cs="宋体"/>
          <w:color w:val="auto"/>
          <w:sz w:val="21"/>
          <w:szCs w:val="21"/>
        </w:rPr>
        <w:t>检验和验收标准、程序等具体内容以及前述验收书的效力详见</w:t>
      </w:r>
      <w:r>
        <w:rPr>
          <w:rFonts w:hint="eastAsia" w:ascii="宋体" w:hAnsi="宋体" w:eastAsia="宋体" w:cs="宋体"/>
          <w:b/>
          <w:color w:val="auto"/>
          <w:spacing w:val="-6"/>
          <w:w w:val="95"/>
          <w:sz w:val="21"/>
          <w:szCs w:val="21"/>
          <w:u w:val="single"/>
        </w:rPr>
        <w:t>合同专</w:t>
      </w:r>
      <w:r>
        <w:rPr>
          <w:rFonts w:hint="eastAsia" w:ascii="宋体" w:hAnsi="宋体" w:eastAsia="宋体" w:cs="宋体"/>
          <w:b/>
          <w:color w:val="auto"/>
          <w:sz w:val="21"/>
          <w:szCs w:val="21"/>
          <w:u w:val="single"/>
        </w:rPr>
        <w:t>用条款</w:t>
      </w:r>
      <w:r>
        <w:rPr>
          <w:rFonts w:hint="eastAsia" w:ascii="宋体" w:hAnsi="宋体" w:eastAsia="宋体" w:cs="宋体"/>
          <w:color w:val="auto"/>
          <w:sz w:val="21"/>
          <w:szCs w:val="21"/>
        </w:rPr>
        <w:t>。</w:t>
      </w:r>
    </w:p>
    <w:p w14:paraId="19159E97">
      <w:pPr>
        <w:pStyle w:val="6"/>
        <w:keepNext w:val="0"/>
        <w:keepLines w:val="0"/>
        <w:numPr>
          <w:ilvl w:val="1"/>
          <w:numId w:val="10"/>
        </w:numPr>
        <w:tabs>
          <w:tab w:val="left" w:pos="1262"/>
        </w:tabs>
        <w:autoSpaceDE w:val="0"/>
        <w:autoSpaceDN w:val="0"/>
        <w:spacing w:before="3"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合同使用的文字和适用的法律</w:t>
      </w:r>
    </w:p>
    <w:p w14:paraId="06B2ED90">
      <w:pPr>
        <w:pStyle w:val="38"/>
        <w:numPr>
          <w:ilvl w:val="0"/>
          <w:numId w:val="0"/>
        </w:numPr>
        <w:tabs>
          <w:tab w:val="left" w:pos="1435"/>
        </w:tabs>
        <w:spacing w:before="161" w:line="360" w:lineRule="auto"/>
        <w:ind w:leftChars="20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2.16.1</w:t>
      </w:r>
      <w:r>
        <w:rPr>
          <w:rFonts w:hint="eastAsia" w:ascii="宋体" w:hAnsi="宋体" w:eastAsia="宋体" w:cs="宋体"/>
          <w:color w:val="auto"/>
          <w:sz w:val="21"/>
          <w:szCs w:val="21"/>
        </w:rPr>
        <w:t>合同使用汉语书就、变更和解释；</w:t>
      </w:r>
    </w:p>
    <w:p w14:paraId="5B7D9774">
      <w:pPr>
        <w:pStyle w:val="38"/>
        <w:numPr>
          <w:ilvl w:val="0"/>
          <w:numId w:val="0"/>
        </w:numPr>
        <w:tabs>
          <w:tab w:val="left" w:pos="1435"/>
        </w:tabs>
        <w:spacing w:before="160" w:line="360" w:lineRule="auto"/>
        <w:ind w:leftChars="200" w:firstLine="210" w:firstLineChars="100"/>
        <w:jc w:val="both"/>
        <w:rPr>
          <w:rFonts w:hint="eastAsia" w:ascii="宋体" w:hAnsi="宋体" w:eastAsia="宋体" w:cs="宋体"/>
          <w:color w:val="auto"/>
          <w:sz w:val="21"/>
          <w:szCs w:val="21"/>
        </w:rPr>
      </w:pPr>
      <w:r>
        <w:rPr>
          <w:rFonts w:hint="eastAsia" w:ascii="宋体" w:hAnsi="宋体" w:cs="宋体"/>
          <w:color w:val="auto"/>
          <w:sz w:val="21"/>
          <w:szCs w:val="21"/>
          <w:lang w:val="en-US" w:eastAsia="zh-CN"/>
        </w:rPr>
        <w:t>2.16.2</w:t>
      </w:r>
      <w:r>
        <w:rPr>
          <w:rFonts w:hint="eastAsia" w:ascii="宋体" w:hAnsi="宋体" w:eastAsia="宋体" w:cs="宋体"/>
          <w:color w:val="auto"/>
          <w:sz w:val="21"/>
          <w:szCs w:val="21"/>
        </w:rPr>
        <w:t>合同适用中华人民共和国法律。</w:t>
      </w:r>
    </w:p>
    <w:p w14:paraId="7F755D43">
      <w:pPr>
        <w:pStyle w:val="6"/>
        <w:keepNext w:val="0"/>
        <w:keepLines w:val="0"/>
        <w:numPr>
          <w:ilvl w:val="1"/>
          <w:numId w:val="10"/>
        </w:numPr>
        <w:tabs>
          <w:tab w:val="left" w:pos="1262"/>
        </w:tabs>
        <w:autoSpaceDE w:val="0"/>
        <w:autoSpaceDN w:val="0"/>
        <w:spacing w:before="161"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履约保证金</w:t>
      </w:r>
    </w:p>
    <w:p w14:paraId="279BFAEE">
      <w:pPr>
        <w:pStyle w:val="38"/>
        <w:tabs>
          <w:tab w:val="left" w:pos="1435"/>
        </w:tabs>
        <w:spacing w:before="158" w:line="360" w:lineRule="auto"/>
        <w:ind w:right="357" w:firstLine="582" w:firstLineChars="300"/>
        <w:jc w:val="both"/>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lang w:val="en-US"/>
        </w:rPr>
        <w:t>2.17.1 采购文件要求乙方提交履约保证金的，乙方应按</w:t>
      </w:r>
      <w:r>
        <w:rPr>
          <w:rFonts w:hint="eastAsia" w:ascii="宋体" w:hAnsi="宋体" w:eastAsia="宋体" w:cs="宋体"/>
          <w:b/>
          <w:bCs/>
          <w:i/>
          <w:iCs/>
          <w:color w:val="auto"/>
          <w:spacing w:val="-8"/>
          <w:sz w:val="21"/>
          <w:szCs w:val="21"/>
          <w:u w:val="single"/>
          <w:lang w:val="en-US"/>
        </w:rPr>
        <w:t>合同专用条款</w:t>
      </w:r>
      <w:r>
        <w:rPr>
          <w:rFonts w:hint="eastAsia" w:ascii="宋体" w:hAnsi="宋体" w:eastAsia="宋体" w:cs="宋体"/>
          <w:color w:val="auto"/>
          <w:spacing w:val="-8"/>
          <w:sz w:val="21"/>
          <w:szCs w:val="21"/>
          <w:lang w:val="en-US"/>
        </w:rPr>
        <w:t xml:space="preserve">约定的方式提交； </w:t>
      </w:r>
    </w:p>
    <w:p w14:paraId="53593878">
      <w:pPr>
        <w:pStyle w:val="38"/>
        <w:tabs>
          <w:tab w:val="left" w:pos="1435"/>
        </w:tabs>
        <w:spacing w:before="158" w:line="360" w:lineRule="auto"/>
        <w:ind w:left="0" w:right="357" w:firstLine="582" w:firstLineChars="300"/>
        <w:jc w:val="both"/>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lang w:val="en-US"/>
        </w:rPr>
        <w:t>2.17.2 履约保证金在</w:t>
      </w:r>
      <w:r>
        <w:rPr>
          <w:rFonts w:hint="eastAsia" w:ascii="宋体" w:hAnsi="宋体" w:eastAsia="宋体" w:cs="宋体"/>
          <w:b/>
          <w:bCs/>
          <w:i/>
          <w:iCs/>
          <w:color w:val="auto"/>
          <w:spacing w:val="-8"/>
          <w:sz w:val="21"/>
          <w:szCs w:val="21"/>
          <w:u w:val="single"/>
          <w:lang w:val="en-US"/>
        </w:rPr>
        <w:t>合同专用条款</w:t>
      </w:r>
      <w:r>
        <w:rPr>
          <w:rFonts w:hint="eastAsia" w:ascii="宋体" w:hAnsi="宋体" w:eastAsia="宋体" w:cs="宋体"/>
          <w:color w:val="auto"/>
          <w:spacing w:val="-8"/>
          <w:sz w:val="21"/>
          <w:szCs w:val="21"/>
          <w:lang w:val="en-US"/>
        </w:rPr>
        <w:t>约定期间内不予退还或者应完全有效，前述约定期间届满或者甲方在验收合格后退还；</w:t>
      </w:r>
    </w:p>
    <w:p w14:paraId="7308FEDB">
      <w:pPr>
        <w:pStyle w:val="38"/>
        <w:tabs>
          <w:tab w:val="left" w:pos="1435"/>
        </w:tabs>
        <w:spacing w:before="158" w:line="360" w:lineRule="auto"/>
        <w:ind w:left="0" w:right="357" w:firstLine="582" w:firstLineChars="300"/>
        <w:jc w:val="both"/>
        <w:rPr>
          <w:rFonts w:hint="eastAsia" w:ascii="宋体" w:hAnsi="宋体" w:eastAsia="宋体" w:cs="宋体"/>
          <w:color w:val="auto"/>
          <w:spacing w:val="-8"/>
          <w:sz w:val="21"/>
          <w:szCs w:val="21"/>
        </w:rPr>
      </w:pPr>
      <w:r>
        <w:rPr>
          <w:rFonts w:hint="eastAsia" w:ascii="宋体" w:hAnsi="宋体" w:eastAsia="宋体" w:cs="宋体"/>
          <w:color w:val="auto"/>
          <w:spacing w:val="-8"/>
          <w:sz w:val="21"/>
          <w:szCs w:val="21"/>
          <w:lang w:val="en-US"/>
        </w:rPr>
        <w:t xml:space="preserve">2.17.3 </w:t>
      </w:r>
      <w:r>
        <w:rPr>
          <w:rFonts w:hint="eastAsia" w:ascii="宋体" w:hAnsi="宋体" w:eastAsia="宋体" w:cs="宋体"/>
          <w:color w:val="auto"/>
          <w:spacing w:val="-8"/>
          <w:sz w:val="21"/>
          <w:szCs w:val="21"/>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66A96A6C">
      <w:pPr>
        <w:pStyle w:val="6"/>
        <w:keepNext w:val="0"/>
        <w:keepLines w:val="0"/>
        <w:numPr>
          <w:ilvl w:val="1"/>
          <w:numId w:val="10"/>
        </w:numPr>
        <w:tabs>
          <w:tab w:val="left" w:pos="1262"/>
        </w:tabs>
        <w:autoSpaceDE w:val="0"/>
        <w:autoSpaceDN w:val="0"/>
        <w:spacing w:before="2" w:after="0" w:line="360" w:lineRule="auto"/>
        <w:ind w:left="1262" w:hanging="605"/>
        <w:rPr>
          <w:rFonts w:hint="eastAsia" w:ascii="宋体" w:hAnsi="宋体" w:eastAsia="宋体" w:cs="宋体"/>
          <w:color w:val="auto"/>
          <w:sz w:val="21"/>
          <w:szCs w:val="21"/>
        </w:rPr>
      </w:pPr>
      <w:r>
        <w:rPr>
          <w:rFonts w:hint="eastAsia" w:ascii="宋体" w:hAnsi="宋体" w:eastAsia="宋体" w:cs="宋体"/>
          <w:color w:val="auto"/>
          <w:sz w:val="21"/>
          <w:szCs w:val="21"/>
        </w:rPr>
        <w:t>合同份数</w:t>
      </w:r>
    </w:p>
    <w:p w14:paraId="45D3F326">
      <w:pPr>
        <w:spacing w:before="150" w:line="360" w:lineRule="auto"/>
        <w:ind w:left="654"/>
        <w:rPr>
          <w:rFonts w:hint="eastAsia" w:ascii="宋体" w:hAnsi="宋体" w:eastAsia="宋体" w:cs="宋体"/>
          <w:color w:val="auto"/>
        </w:rPr>
      </w:pPr>
      <w:r>
        <w:rPr>
          <w:rFonts w:hint="eastAsia" w:ascii="宋体" w:hAnsi="宋体" w:eastAsia="宋体" w:cs="宋体"/>
          <w:color w:val="auto"/>
        </w:rPr>
        <w:t>合同份数按</w:t>
      </w:r>
      <w:r>
        <w:rPr>
          <w:rFonts w:hint="eastAsia" w:ascii="宋体" w:hAnsi="宋体" w:eastAsia="宋体" w:cs="宋体"/>
          <w:b/>
          <w:color w:val="auto"/>
          <w:u w:val="single"/>
        </w:rPr>
        <w:t>合同专用条款</w:t>
      </w:r>
      <w:r>
        <w:rPr>
          <w:rFonts w:hint="eastAsia" w:ascii="宋体" w:hAnsi="宋体" w:eastAsia="宋体" w:cs="宋体"/>
          <w:color w:val="auto"/>
        </w:rPr>
        <w:t>规定，每份均具有同等法律效力。</w:t>
      </w:r>
    </w:p>
    <w:p w14:paraId="33CC5662">
      <w:pPr>
        <w:spacing w:line="360" w:lineRule="auto"/>
        <w:rPr>
          <w:rFonts w:hint="eastAsia" w:ascii="宋体" w:hAnsi="宋体" w:eastAsia="宋体" w:cs="宋体"/>
          <w:color w:val="auto"/>
        </w:rPr>
        <w:sectPr>
          <w:pgSz w:w="11910" w:h="16840"/>
          <w:pgMar w:top="1380" w:right="1440" w:bottom="1500" w:left="1580" w:header="877" w:footer="1304" w:gutter="0"/>
          <w:cols w:space="720" w:num="1"/>
        </w:sectPr>
      </w:pPr>
    </w:p>
    <w:p w14:paraId="0AC08F82">
      <w:pPr>
        <w:pStyle w:val="6"/>
        <w:spacing w:line="360" w:lineRule="auto"/>
        <w:ind w:left="3108"/>
        <w:rPr>
          <w:rFonts w:hint="eastAsia" w:ascii="宋体" w:hAnsi="宋体" w:eastAsia="宋体" w:cs="宋体"/>
          <w:color w:val="auto"/>
          <w:sz w:val="21"/>
          <w:szCs w:val="21"/>
        </w:rPr>
      </w:pPr>
      <w:r>
        <w:rPr>
          <w:rFonts w:hint="eastAsia" w:ascii="宋体" w:hAnsi="宋体" w:eastAsia="宋体" w:cs="宋体"/>
          <w:color w:val="auto"/>
          <w:sz w:val="21"/>
          <w:szCs w:val="21"/>
        </w:rPr>
        <w:t>第三部分 合同专用条款</w:t>
      </w:r>
    </w:p>
    <w:p w14:paraId="239CC2B8">
      <w:pPr>
        <w:pStyle w:val="12"/>
        <w:spacing w:before="160" w:line="360" w:lineRule="auto"/>
        <w:ind w:right="238" w:firstLine="434"/>
        <w:rPr>
          <w:rFonts w:hint="eastAsia" w:ascii="宋体" w:hAnsi="宋体" w:eastAsia="宋体" w:cs="宋体"/>
          <w:color w:val="auto"/>
          <w:spacing w:val="-7"/>
          <w:sz w:val="21"/>
          <w:szCs w:val="21"/>
        </w:rPr>
      </w:pPr>
      <w:r>
        <w:rPr>
          <w:rFonts w:hint="eastAsia" w:ascii="宋体" w:hAnsi="宋体" w:eastAsia="宋体" w:cs="宋体"/>
          <w:color w:val="auto"/>
          <w:sz w:val="21"/>
          <w:szCs w:val="21"/>
        </w:rPr>
        <w:t xml:space="preserve">本部分是对前两部分的补充和修改，如果前两部分和本部分的约定不一致， </w:t>
      </w:r>
      <w:r>
        <w:rPr>
          <w:rFonts w:hint="eastAsia" w:ascii="宋体" w:hAnsi="宋体" w:eastAsia="宋体" w:cs="宋体"/>
          <w:color w:val="auto"/>
          <w:spacing w:val="-7"/>
          <w:sz w:val="21"/>
          <w:szCs w:val="21"/>
        </w:rPr>
        <w:t>应以本部分的约定为准。本部分的条款号应与前两部分的条款号保持对应；与前两部分无对应关系的内容可另行编制</w:t>
      </w:r>
    </w:p>
    <w:p w14:paraId="7CBCF137">
      <w:pPr>
        <w:pStyle w:val="12"/>
        <w:spacing w:before="160" w:line="360" w:lineRule="auto"/>
        <w:ind w:right="238" w:firstLine="434"/>
        <w:rPr>
          <w:rFonts w:hint="eastAsia" w:ascii="宋体" w:hAnsi="宋体" w:eastAsia="宋体" w:cs="宋体"/>
          <w:color w:val="auto"/>
          <w:spacing w:val="-7"/>
          <w:sz w:val="21"/>
          <w:szCs w:val="21"/>
        </w:rPr>
      </w:pPr>
    </w:p>
    <w:tbl>
      <w:tblPr>
        <w:tblStyle w:val="24"/>
        <w:tblW w:w="83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94"/>
        <w:gridCol w:w="7571"/>
      </w:tblGrid>
      <w:tr w14:paraId="06A95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jc w:val="center"/>
        </w:trPr>
        <w:tc>
          <w:tcPr>
            <w:tcW w:w="794" w:type="dxa"/>
            <w:tcBorders>
              <w:left w:val="single" w:color="000000" w:sz="4" w:space="0"/>
            </w:tcBorders>
            <w:noWrap w:val="0"/>
            <w:vAlign w:val="center"/>
          </w:tcPr>
          <w:p w14:paraId="51979CB7">
            <w:pPr>
              <w:pStyle w:val="37"/>
              <w:spacing w:before="40"/>
              <w:ind w:left="35"/>
              <w:rPr>
                <w:rFonts w:hint="eastAsia" w:ascii="宋体" w:hAnsi="宋体" w:eastAsia="宋体" w:cs="宋体"/>
                <w:b/>
                <w:color w:val="auto"/>
                <w:sz w:val="21"/>
                <w:szCs w:val="21"/>
                <w:lang w:eastAsia="en-US"/>
              </w:rPr>
            </w:pPr>
            <w:r>
              <w:rPr>
                <w:rFonts w:hint="eastAsia" w:ascii="宋体" w:hAnsi="宋体" w:eastAsia="宋体" w:cs="宋体"/>
                <w:b/>
                <w:color w:val="auto"/>
                <w:sz w:val="21"/>
                <w:szCs w:val="21"/>
                <w:lang w:eastAsia="en-US"/>
              </w:rPr>
              <w:t>条款号</w:t>
            </w:r>
          </w:p>
        </w:tc>
        <w:tc>
          <w:tcPr>
            <w:tcW w:w="7571" w:type="dxa"/>
            <w:noWrap w:val="0"/>
            <w:vAlign w:val="center"/>
          </w:tcPr>
          <w:p w14:paraId="5D461C55">
            <w:pPr>
              <w:pStyle w:val="37"/>
              <w:spacing w:before="40"/>
              <w:ind w:left="3280" w:right="3271"/>
              <w:jc w:val="center"/>
              <w:rPr>
                <w:rFonts w:hint="eastAsia" w:ascii="宋体" w:hAnsi="宋体" w:eastAsia="宋体" w:cs="宋体"/>
                <w:b/>
                <w:color w:val="auto"/>
                <w:sz w:val="21"/>
                <w:szCs w:val="21"/>
                <w:lang w:eastAsia="en-US"/>
              </w:rPr>
            </w:pPr>
            <w:r>
              <w:rPr>
                <w:rFonts w:hint="eastAsia" w:ascii="宋体" w:hAnsi="宋体" w:eastAsia="宋体" w:cs="宋体"/>
                <w:b/>
                <w:color w:val="auto"/>
                <w:sz w:val="21"/>
                <w:szCs w:val="21"/>
                <w:lang w:eastAsia="en-US"/>
              </w:rPr>
              <w:t>约定内容</w:t>
            </w:r>
          </w:p>
        </w:tc>
      </w:tr>
      <w:tr w14:paraId="74C65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jc w:val="center"/>
        </w:trPr>
        <w:tc>
          <w:tcPr>
            <w:tcW w:w="794" w:type="dxa"/>
            <w:tcBorders>
              <w:left w:val="single" w:color="000000" w:sz="4" w:space="0"/>
            </w:tcBorders>
            <w:noWrap w:val="0"/>
            <w:vAlign w:val="center"/>
          </w:tcPr>
          <w:p w14:paraId="24B3F31B">
            <w:pPr>
              <w:pStyle w:val="37"/>
              <w:rPr>
                <w:rFonts w:hint="eastAsia" w:ascii="宋体" w:hAnsi="宋体" w:eastAsia="宋体" w:cs="宋体"/>
                <w:color w:val="auto"/>
                <w:spacing w:val="-7"/>
                <w:kern w:val="0"/>
                <w:sz w:val="21"/>
                <w:szCs w:val="21"/>
                <w:lang w:val="zh-CN" w:eastAsia="en-US" w:bidi="zh-CN"/>
              </w:rPr>
            </w:pPr>
            <w:r>
              <w:rPr>
                <w:rFonts w:hint="eastAsia" w:ascii="宋体" w:hAnsi="宋体" w:eastAsia="宋体" w:cs="宋体"/>
                <w:color w:val="auto"/>
                <w:spacing w:val="-7"/>
                <w:kern w:val="0"/>
                <w:sz w:val="21"/>
                <w:szCs w:val="21"/>
                <w:lang w:val="en-US" w:eastAsia="zh-CN" w:bidi="zh-CN"/>
              </w:rPr>
              <w:t>履约保证金</w:t>
            </w:r>
          </w:p>
        </w:tc>
        <w:tc>
          <w:tcPr>
            <w:tcW w:w="7571" w:type="dxa"/>
            <w:noWrap w:val="0"/>
            <w:vAlign w:val="center"/>
          </w:tcPr>
          <w:p w14:paraId="520D2755">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（1）金额：遵照《阜阳市财政局 阜阳市公共资源交易监督管理局转发安徽省财政厅关于进一步优化政府采购营商环境的通知》（阜财购〔2022〕207号）执行 </w:t>
            </w:r>
          </w:p>
          <w:p w14:paraId="1A8297CC">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☑免收 </w:t>
            </w:r>
          </w:p>
          <w:p w14:paraId="25EAD64E">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□合同价的           % </w:t>
            </w:r>
          </w:p>
          <w:p w14:paraId="0843204E">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□定额收取：人民币           元 </w:t>
            </w:r>
          </w:p>
          <w:p w14:paraId="7A5C59B1">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（2）支付方式： </w:t>
            </w:r>
          </w:p>
          <w:p w14:paraId="7CE7B476">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□转账/电汇 □支票 □汇票 □本票 □保函 □保险</w:t>
            </w:r>
          </w:p>
          <w:p w14:paraId="52BA7741">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其他要求：</w:t>
            </w:r>
          </w:p>
          <w:p w14:paraId="3F5710CF">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（3）收取单位：  </w:t>
            </w:r>
          </w:p>
          <w:p w14:paraId="5ECA9ECE">
            <w:pPr>
              <w:widowControl/>
              <w:spacing w:line="480" w:lineRule="auto"/>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zh-CN" w:eastAsia="zh-CN" w:bidi="zh-CN"/>
              </w:rPr>
              <w:t xml:space="preserve">（4）缴纳时间： </w:t>
            </w:r>
          </w:p>
          <w:p w14:paraId="5E80927C">
            <w:pPr>
              <w:pStyle w:val="37"/>
              <w:rPr>
                <w:rFonts w:hint="eastAsia" w:ascii="宋体" w:hAnsi="宋体" w:eastAsia="宋体" w:cs="宋体"/>
                <w:color w:val="auto"/>
                <w:spacing w:val="-7"/>
                <w:kern w:val="0"/>
                <w:sz w:val="21"/>
                <w:szCs w:val="21"/>
                <w:lang w:val="zh-CN" w:eastAsia="zh-CN" w:bidi="zh-CN"/>
              </w:rPr>
            </w:pPr>
            <w:r>
              <w:rPr>
                <w:rFonts w:hint="eastAsia" w:ascii="宋体" w:hAnsi="宋体" w:eastAsia="宋体" w:cs="宋体"/>
                <w:color w:val="auto"/>
                <w:spacing w:val="-7"/>
                <w:kern w:val="0"/>
                <w:sz w:val="21"/>
                <w:szCs w:val="21"/>
                <w:lang w:val="en-US" w:eastAsia="zh-CN" w:bidi="zh-CN"/>
              </w:rPr>
              <w:t xml:space="preserve">（5）退还时间： </w:t>
            </w:r>
          </w:p>
        </w:tc>
      </w:tr>
      <w:tr w14:paraId="64DD6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794" w:type="dxa"/>
            <w:tcBorders>
              <w:left w:val="single" w:color="000000" w:sz="4" w:space="0"/>
            </w:tcBorders>
            <w:noWrap w:val="0"/>
            <w:vAlign w:val="center"/>
          </w:tcPr>
          <w:p w14:paraId="782A2D72">
            <w:pPr>
              <w:pStyle w:val="37"/>
              <w:rPr>
                <w:rFonts w:hint="eastAsia" w:ascii="宋体" w:hAnsi="宋体" w:eastAsia="宋体" w:cs="宋体"/>
                <w:color w:val="auto"/>
              </w:rPr>
            </w:pPr>
          </w:p>
        </w:tc>
        <w:tc>
          <w:tcPr>
            <w:tcW w:w="7571" w:type="dxa"/>
            <w:noWrap w:val="0"/>
            <w:vAlign w:val="center"/>
          </w:tcPr>
          <w:p w14:paraId="0E7AAFB0">
            <w:pPr>
              <w:pStyle w:val="37"/>
              <w:rPr>
                <w:rFonts w:hint="eastAsia" w:ascii="宋体" w:hAnsi="宋体" w:eastAsia="宋体" w:cs="宋体"/>
                <w:color w:val="auto"/>
              </w:rPr>
            </w:pPr>
          </w:p>
        </w:tc>
      </w:tr>
      <w:tr w14:paraId="3CC27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794" w:type="dxa"/>
            <w:tcBorders>
              <w:left w:val="single" w:color="000000" w:sz="4" w:space="0"/>
            </w:tcBorders>
            <w:noWrap w:val="0"/>
            <w:vAlign w:val="center"/>
          </w:tcPr>
          <w:p w14:paraId="4A3AF11A">
            <w:pPr>
              <w:pStyle w:val="37"/>
              <w:rPr>
                <w:rFonts w:hint="eastAsia" w:ascii="宋体" w:hAnsi="宋体" w:eastAsia="宋体" w:cs="宋体"/>
                <w:color w:val="auto"/>
              </w:rPr>
            </w:pPr>
          </w:p>
        </w:tc>
        <w:tc>
          <w:tcPr>
            <w:tcW w:w="7571" w:type="dxa"/>
            <w:noWrap w:val="0"/>
            <w:vAlign w:val="center"/>
          </w:tcPr>
          <w:p w14:paraId="680B9727">
            <w:pPr>
              <w:pStyle w:val="37"/>
              <w:rPr>
                <w:rFonts w:hint="eastAsia" w:ascii="宋体" w:hAnsi="宋体" w:eastAsia="宋体" w:cs="宋体"/>
                <w:color w:val="auto"/>
              </w:rPr>
            </w:pPr>
          </w:p>
        </w:tc>
      </w:tr>
      <w:tr w14:paraId="7923F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794" w:type="dxa"/>
            <w:tcBorders>
              <w:left w:val="single" w:color="000000" w:sz="4" w:space="0"/>
            </w:tcBorders>
            <w:noWrap w:val="0"/>
            <w:vAlign w:val="center"/>
          </w:tcPr>
          <w:p w14:paraId="070C3ED4">
            <w:pPr>
              <w:pStyle w:val="37"/>
              <w:rPr>
                <w:rFonts w:hint="eastAsia" w:ascii="宋体" w:hAnsi="宋体" w:eastAsia="宋体" w:cs="宋体"/>
                <w:color w:val="auto"/>
              </w:rPr>
            </w:pPr>
          </w:p>
        </w:tc>
        <w:tc>
          <w:tcPr>
            <w:tcW w:w="7571" w:type="dxa"/>
            <w:noWrap w:val="0"/>
            <w:vAlign w:val="center"/>
          </w:tcPr>
          <w:p w14:paraId="19F4FAA0">
            <w:pPr>
              <w:pStyle w:val="37"/>
              <w:rPr>
                <w:rFonts w:hint="eastAsia" w:ascii="宋体" w:hAnsi="宋体" w:eastAsia="宋体" w:cs="宋体"/>
                <w:color w:val="auto"/>
              </w:rPr>
            </w:pPr>
          </w:p>
        </w:tc>
      </w:tr>
      <w:tr w14:paraId="1BFD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 w:hRule="atLeast"/>
          <w:jc w:val="center"/>
        </w:trPr>
        <w:tc>
          <w:tcPr>
            <w:tcW w:w="794" w:type="dxa"/>
            <w:tcBorders>
              <w:left w:val="single" w:color="000000" w:sz="4" w:space="0"/>
            </w:tcBorders>
            <w:noWrap w:val="0"/>
            <w:vAlign w:val="center"/>
          </w:tcPr>
          <w:p w14:paraId="3EDD7EAB">
            <w:pPr>
              <w:pStyle w:val="37"/>
              <w:rPr>
                <w:rFonts w:hint="eastAsia" w:ascii="宋体" w:hAnsi="宋体" w:eastAsia="宋体" w:cs="宋体"/>
                <w:color w:val="auto"/>
              </w:rPr>
            </w:pPr>
          </w:p>
        </w:tc>
        <w:tc>
          <w:tcPr>
            <w:tcW w:w="7571" w:type="dxa"/>
            <w:noWrap w:val="0"/>
            <w:vAlign w:val="center"/>
          </w:tcPr>
          <w:p w14:paraId="7A449FB8">
            <w:pPr>
              <w:pStyle w:val="37"/>
              <w:rPr>
                <w:rFonts w:hint="eastAsia" w:ascii="宋体" w:hAnsi="宋体" w:eastAsia="宋体" w:cs="宋体"/>
                <w:color w:val="auto"/>
              </w:rPr>
            </w:pPr>
          </w:p>
        </w:tc>
      </w:tr>
      <w:tr w14:paraId="33015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794" w:type="dxa"/>
            <w:tcBorders>
              <w:left w:val="single" w:color="000000" w:sz="4" w:space="0"/>
            </w:tcBorders>
            <w:noWrap w:val="0"/>
            <w:vAlign w:val="center"/>
          </w:tcPr>
          <w:p w14:paraId="4D8E8074">
            <w:pPr>
              <w:pStyle w:val="37"/>
              <w:rPr>
                <w:rFonts w:hint="eastAsia" w:ascii="宋体" w:hAnsi="宋体" w:eastAsia="宋体" w:cs="宋体"/>
                <w:color w:val="auto"/>
              </w:rPr>
            </w:pPr>
          </w:p>
        </w:tc>
        <w:tc>
          <w:tcPr>
            <w:tcW w:w="7571" w:type="dxa"/>
            <w:noWrap w:val="0"/>
            <w:vAlign w:val="center"/>
          </w:tcPr>
          <w:p w14:paraId="3ABD62EF">
            <w:pPr>
              <w:pStyle w:val="37"/>
              <w:rPr>
                <w:rFonts w:hint="eastAsia" w:ascii="宋体" w:hAnsi="宋体" w:eastAsia="宋体" w:cs="宋体"/>
                <w:color w:val="auto"/>
              </w:rPr>
            </w:pPr>
          </w:p>
        </w:tc>
      </w:tr>
      <w:tr w14:paraId="6AEDC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jc w:val="center"/>
        </w:trPr>
        <w:tc>
          <w:tcPr>
            <w:tcW w:w="794" w:type="dxa"/>
            <w:tcBorders>
              <w:left w:val="single" w:color="000000" w:sz="4" w:space="0"/>
            </w:tcBorders>
            <w:noWrap w:val="0"/>
            <w:vAlign w:val="center"/>
          </w:tcPr>
          <w:p w14:paraId="50DF2DE6">
            <w:pPr>
              <w:pStyle w:val="37"/>
              <w:rPr>
                <w:rFonts w:hint="eastAsia" w:ascii="宋体" w:hAnsi="宋体" w:eastAsia="宋体" w:cs="宋体"/>
                <w:color w:val="auto"/>
              </w:rPr>
            </w:pPr>
          </w:p>
        </w:tc>
        <w:tc>
          <w:tcPr>
            <w:tcW w:w="7571" w:type="dxa"/>
            <w:noWrap w:val="0"/>
            <w:vAlign w:val="center"/>
          </w:tcPr>
          <w:p w14:paraId="092BF025">
            <w:pPr>
              <w:pStyle w:val="37"/>
              <w:rPr>
                <w:rFonts w:hint="eastAsia" w:ascii="宋体" w:hAnsi="宋体" w:eastAsia="宋体" w:cs="宋体"/>
                <w:color w:val="auto"/>
              </w:rPr>
            </w:pPr>
          </w:p>
        </w:tc>
      </w:tr>
      <w:tr w14:paraId="5A37D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jc w:val="center"/>
        </w:trPr>
        <w:tc>
          <w:tcPr>
            <w:tcW w:w="794" w:type="dxa"/>
            <w:tcBorders>
              <w:left w:val="single" w:color="000000" w:sz="4" w:space="0"/>
            </w:tcBorders>
            <w:noWrap w:val="0"/>
            <w:vAlign w:val="center"/>
          </w:tcPr>
          <w:p w14:paraId="371D1B15">
            <w:pPr>
              <w:pStyle w:val="37"/>
              <w:rPr>
                <w:rFonts w:hint="eastAsia" w:ascii="宋体" w:hAnsi="宋体" w:eastAsia="宋体" w:cs="宋体"/>
                <w:color w:val="auto"/>
              </w:rPr>
            </w:pPr>
          </w:p>
        </w:tc>
        <w:tc>
          <w:tcPr>
            <w:tcW w:w="7571" w:type="dxa"/>
            <w:noWrap w:val="0"/>
            <w:vAlign w:val="center"/>
          </w:tcPr>
          <w:p w14:paraId="6136A52B">
            <w:pPr>
              <w:pStyle w:val="37"/>
              <w:rPr>
                <w:rFonts w:hint="eastAsia" w:ascii="宋体" w:hAnsi="宋体" w:eastAsia="宋体" w:cs="宋体"/>
                <w:color w:val="auto"/>
              </w:rPr>
            </w:pPr>
          </w:p>
        </w:tc>
      </w:tr>
    </w:tbl>
    <w:p w14:paraId="0232EE30">
      <w:pPr>
        <w:keepNext w:val="0"/>
        <w:keepLines w:val="0"/>
        <w:widowControl/>
        <w:suppressLineNumbers w:val="0"/>
        <w:shd w:val="clear" w:color="auto" w:fill="auto"/>
        <w:ind w:firstLine="630" w:firstLineChars="300"/>
        <w:jc w:val="left"/>
        <w:rPr>
          <w:rFonts w:hint="eastAsia" w:ascii="宋体" w:hAnsi="宋体" w:eastAsia="宋体" w:cs="宋体"/>
          <w:color w:val="auto"/>
          <w:highlight w:val="none"/>
          <w:shd w:val="clear" w:color="auto" w:fill="auto"/>
        </w:rPr>
      </w:pPr>
    </w:p>
    <w:p w14:paraId="226B2B09">
      <w:pPr>
        <w:spacing w:line="36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35D74D8A">
      <w:pPr>
        <w:pStyle w:val="32"/>
        <w:rPr>
          <w:rFonts w:hint="eastAsia" w:ascii="宋体" w:hAnsi="宋体" w:eastAsia="宋体" w:cs="宋体"/>
          <w:color w:val="auto"/>
          <w:sz w:val="32"/>
          <w:szCs w:val="32"/>
        </w:rPr>
      </w:pPr>
      <w:bookmarkStart w:id="152" w:name="_Toc5404"/>
    </w:p>
    <w:p w14:paraId="215D4F55">
      <w:pPr>
        <w:pStyle w:val="32"/>
        <w:rPr>
          <w:rFonts w:hint="eastAsia" w:ascii="宋体" w:hAnsi="宋体" w:eastAsia="宋体" w:cs="宋体"/>
          <w:color w:val="auto"/>
          <w:sz w:val="32"/>
          <w:szCs w:val="32"/>
        </w:rPr>
      </w:pPr>
    </w:p>
    <w:p w14:paraId="77F872BC">
      <w:pPr>
        <w:pStyle w:val="23"/>
        <w:rPr>
          <w:rFonts w:hint="eastAsia" w:ascii="宋体" w:hAnsi="宋体" w:eastAsia="宋体" w:cs="宋体"/>
          <w:color w:val="auto"/>
        </w:rPr>
      </w:pPr>
    </w:p>
    <w:p w14:paraId="3232FB0E">
      <w:pPr>
        <w:pStyle w:val="4"/>
        <w:numPr>
          <w:ilvl w:val="0"/>
          <w:numId w:val="11"/>
        </w:numPr>
        <w:tabs>
          <w:tab w:val="left" w:pos="1127"/>
        </w:tabs>
        <w:spacing w:before="158"/>
        <w:jc w:val="center"/>
        <w:rPr>
          <w:rFonts w:hint="eastAsia" w:ascii="宋体" w:hAnsi="宋体" w:eastAsia="宋体" w:cs="宋体"/>
          <w:color w:val="auto"/>
          <w:sz w:val="32"/>
          <w:szCs w:val="32"/>
        </w:rPr>
      </w:pPr>
      <w:r>
        <w:rPr>
          <w:rFonts w:hint="eastAsia" w:ascii="宋体" w:hAnsi="宋体" w:eastAsia="宋体" w:cs="宋体"/>
          <w:color w:val="auto"/>
          <w:sz w:val="32"/>
          <w:szCs w:val="32"/>
        </w:rPr>
        <w:t xml:space="preserve"> 响应文件格式</w:t>
      </w:r>
      <w:bookmarkEnd w:id="152"/>
    </w:p>
    <w:p w14:paraId="45EB352B">
      <w:pPr>
        <w:numPr>
          <w:ilvl w:val="0"/>
          <w:numId w:val="0"/>
        </w:numPr>
        <w:jc w:val="right"/>
        <w:rPr>
          <w:rFonts w:hint="eastAsia" w:ascii="宋体" w:hAnsi="宋体" w:eastAsia="宋体" w:cs="宋体"/>
          <w:b/>
          <w:bCs/>
          <w:color w:val="auto"/>
          <w:kern w:val="44"/>
          <w:sz w:val="24"/>
          <w:szCs w:val="44"/>
        </w:rPr>
      </w:pPr>
      <w:r>
        <w:rPr>
          <w:rFonts w:hint="eastAsia" w:ascii="宋体" w:hAnsi="宋体" w:eastAsia="宋体" w:cs="宋体"/>
          <w:b/>
          <w:bCs/>
          <w:color w:val="auto"/>
          <w:kern w:val="44"/>
          <w:sz w:val="24"/>
          <w:szCs w:val="44"/>
        </w:rPr>
        <w:t>正/副本</w:t>
      </w:r>
    </w:p>
    <w:p w14:paraId="2C205CE3">
      <w:pPr>
        <w:pStyle w:val="23"/>
        <w:rPr>
          <w:rFonts w:hint="eastAsia" w:ascii="宋体" w:hAnsi="宋体" w:eastAsia="宋体" w:cs="宋体"/>
          <w:color w:val="auto"/>
        </w:rPr>
      </w:pPr>
    </w:p>
    <w:p w14:paraId="146BFA31">
      <w:pPr>
        <w:jc w:val="center"/>
        <w:rPr>
          <w:rFonts w:hint="eastAsia" w:ascii="宋体" w:hAnsi="宋体" w:eastAsia="宋体" w:cs="宋体"/>
          <w:color w:val="auto"/>
          <w:sz w:val="28"/>
          <w:szCs w:val="28"/>
        </w:rPr>
      </w:pPr>
      <w:bookmarkStart w:id="153" w:name="_Toc32338_WPSOffice_Level1"/>
      <w:bookmarkStart w:id="154" w:name="_Toc13756_WPSOffice_Level1"/>
      <w:r>
        <w:rPr>
          <w:rFonts w:hint="eastAsia" w:ascii="宋体" w:hAnsi="宋体" w:eastAsia="宋体" w:cs="宋体"/>
          <w:color w:val="auto"/>
          <w:sz w:val="28"/>
          <w:szCs w:val="28"/>
          <w:u w:val="single"/>
        </w:rPr>
        <w:t>（项目名称）</w:t>
      </w:r>
      <w:bookmarkEnd w:id="153"/>
      <w:bookmarkEnd w:id="154"/>
    </w:p>
    <w:p w14:paraId="28F7CBEA">
      <w:pPr>
        <w:jc w:val="center"/>
        <w:rPr>
          <w:rFonts w:hint="eastAsia" w:ascii="宋体" w:hAnsi="宋体" w:eastAsia="宋体" w:cs="宋体"/>
          <w:b/>
          <w:color w:val="auto"/>
          <w:sz w:val="28"/>
          <w:szCs w:val="28"/>
        </w:rPr>
      </w:pPr>
      <w:bookmarkStart w:id="155" w:name="_Hlk450146333"/>
    </w:p>
    <w:p w14:paraId="55F78F24">
      <w:pPr>
        <w:jc w:val="center"/>
        <w:rPr>
          <w:rFonts w:hint="eastAsia" w:ascii="宋体" w:hAnsi="宋体" w:eastAsia="宋体" w:cs="宋体"/>
          <w:b/>
          <w:color w:val="auto"/>
          <w:sz w:val="28"/>
          <w:szCs w:val="28"/>
        </w:rPr>
      </w:pPr>
      <w:bookmarkStart w:id="156" w:name="_Toc361_WPSOffice_Level1"/>
      <w:bookmarkStart w:id="157" w:name="_Toc18887_WPSOffice_Level1"/>
      <w:r>
        <w:rPr>
          <w:rFonts w:hint="eastAsia" w:ascii="宋体" w:hAnsi="宋体" w:eastAsia="宋体" w:cs="宋体"/>
          <w:b/>
          <w:color w:val="auto"/>
          <w:sz w:val="28"/>
          <w:szCs w:val="28"/>
        </w:rPr>
        <w:t xml:space="preserve">响 应 </w:t>
      </w:r>
      <w:bookmarkEnd w:id="155"/>
      <w:r>
        <w:rPr>
          <w:rFonts w:hint="eastAsia" w:ascii="宋体" w:hAnsi="宋体" w:eastAsia="宋体" w:cs="宋体"/>
          <w:b/>
          <w:color w:val="auto"/>
          <w:sz w:val="28"/>
          <w:szCs w:val="28"/>
        </w:rPr>
        <w:t>文 件</w:t>
      </w:r>
      <w:bookmarkEnd w:id="156"/>
      <w:bookmarkEnd w:id="157"/>
    </w:p>
    <w:p w14:paraId="62A1B016">
      <w:pP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p w14:paraId="7DC975E4">
      <w:pPr>
        <w:rPr>
          <w:rFonts w:hint="eastAsia" w:ascii="宋体" w:hAnsi="宋体" w:eastAsia="宋体" w:cs="宋体"/>
          <w:color w:val="auto"/>
          <w:sz w:val="28"/>
          <w:szCs w:val="28"/>
        </w:rPr>
      </w:pPr>
    </w:p>
    <w:p w14:paraId="018843E4">
      <w:pPr>
        <w:jc w:val="center"/>
        <w:rPr>
          <w:rFonts w:hint="eastAsia" w:ascii="宋体" w:hAnsi="宋体" w:eastAsia="宋体" w:cs="宋体"/>
          <w:color w:val="auto"/>
          <w:sz w:val="28"/>
          <w:szCs w:val="28"/>
        </w:rPr>
      </w:pPr>
    </w:p>
    <w:p w14:paraId="255694CC">
      <w:pPr>
        <w:pStyle w:val="23"/>
        <w:rPr>
          <w:rFonts w:hint="eastAsia" w:ascii="宋体" w:hAnsi="宋体" w:eastAsia="宋体" w:cs="宋体"/>
          <w:color w:val="auto"/>
          <w:sz w:val="28"/>
          <w:szCs w:val="28"/>
        </w:rPr>
      </w:pPr>
    </w:p>
    <w:p w14:paraId="5A33BCBE">
      <w:pPr>
        <w:pStyle w:val="23"/>
        <w:rPr>
          <w:rFonts w:hint="eastAsia" w:ascii="宋体" w:hAnsi="宋体" w:eastAsia="宋体" w:cs="宋体"/>
          <w:color w:val="auto"/>
          <w:sz w:val="28"/>
          <w:szCs w:val="28"/>
        </w:rPr>
      </w:pPr>
    </w:p>
    <w:p w14:paraId="42F7A6FF">
      <w:pPr>
        <w:pStyle w:val="23"/>
        <w:rPr>
          <w:rFonts w:hint="eastAsia" w:ascii="宋体" w:hAnsi="宋体" w:eastAsia="宋体" w:cs="宋体"/>
          <w:color w:val="auto"/>
          <w:sz w:val="28"/>
          <w:szCs w:val="28"/>
        </w:rPr>
      </w:pPr>
    </w:p>
    <w:p w14:paraId="1EE58D5F">
      <w:pPr>
        <w:pStyle w:val="23"/>
        <w:rPr>
          <w:rFonts w:hint="eastAsia" w:ascii="宋体" w:hAnsi="宋体" w:eastAsia="宋体" w:cs="宋体"/>
          <w:color w:val="auto"/>
          <w:sz w:val="28"/>
          <w:szCs w:val="28"/>
        </w:rPr>
      </w:pPr>
    </w:p>
    <w:p w14:paraId="182CE761">
      <w:pPr>
        <w:pStyle w:val="23"/>
        <w:ind w:left="0" w:leftChars="0" w:firstLine="0" w:firstLineChars="0"/>
        <w:rPr>
          <w:rFonts w:hint="eastAsia" w:ascii="宋体" w:hAnsi="宋体" w:eastAsia="宋体" w:cs="宋体"/>
          <w:color w:val="auto"/>
          <w:sz w:val="28"/>
          <w:szCs w:val="28"/>
        </w:rPr>
      </w:pPr>
    </w:p>
    <w:p w14:paraId="5B85ACB2">
      <w:pPr>
        <w:pStyle w:val="23"/>
        <w:rPr>
          <w:rFonts w:hint="eastAsia" w:ascii="宋体" w:hAnsi="宋体" w:eastAsia="宋体" w:cs="宋体"/>
          <w:color w:val="auto"/>
          <w:sz w:val="28"/>
          <w:szCs w:val="28"/>
        </w:rPr>
      </w:pPr>
    </w:p>
    <w:p w14:paraId="2EB3A5A9">
      <w:pPr>
        <w:ind w:firstLine="1120" w:firstLineChars="400"/>
        <w:rPr>
          <w:rFonts w:hint="eastAsia" w:ascii="宋体" w:hAnsi="宋体" w:eastAsia="宋体" w:cs="宋体"/>
          <w:color w:val="auto"/>
          <w:sz w:val="28"/>
          <w:szCs w:val="28"/>
          <w:u w:val="single"/>
        </w:rPr>
      </w:pPr>
      <w:bookmarkStart w:id="158" w:name="_Toc13389_WPSOffice_Level1"/>
      <w:bookmarkStart w:id="159" w:name="_Toc4204_WPSOffice_Level1"/>
      <w:r>
        <w:rPr>
          <w:rFonts w:hint="eastAsia" w:ascii="宋体" w:hAnsi="宋体" w:eastAsia="宋体" w:cs="宋体"/>
          <w:color w:val="auto"/>
          <w:sz w:val="28"/>
          <w:szCs w:val="28"/>
        </w:rPr>
        <w:t>采购人：</w:t>
      </w:r>
      <w:bookmarkEnd w:id="158"/>
      <w:bookmarkEnd w:id="159"/>
      <w:r>
        <w:rPr>
          <w:rFonts w:hint="eastAsia" w:ascii="宋体" w:hAnsi="宋体" w:eastAsia="宋体" w:cs="宋体"/>
          <w:color w:val="auto"/>
          <w:sz w:val="28"/>
          <w:szCs w:val="28"/>
          <w:u w:val="single"/>
        </w:rPr>
        <w:t xml:space="preserve">                               </w:t>
      </w:r>
    </w:p>
    <w:p w14:paraId="652EEC49">
      <w:pPr>
        <w:ind w:firstLine="1540" w:firstLineChars="550"/>
        <w:rPr>
          <w:rFonts w:hint="eastAsia" w:ascii="宋体" w:hAnsi="宋体" w:eastAsia="宋体" w:cs="宋体"/>
          <w:color w:val="auto"/>
          <w:sz w:val="28"/>
          <w:szCs w:val="28"/>
        </w:rPr>
      </w:pPr>
    </w:p>
    <w:p w14:paraId="7AD35500">
      <w:pPr>
        <w:spacing w:line="460" w:lineRule="exact"/>
        <w:ind w:firstLine="1120" w:firstLineChars="400"/>
        <w:rPr>
          <w:rFonts w:hint="eastAsia" w:ascii="宋体" w:hAnsi="宋体" w:eastAsia="宋体" w:cs="宋体"/>
          <w:color w:val="auto"/>
          <w:sz w:val="28"/>
          <w:szCs w:val="28"/>
        </w:rPr>
      </w:pPr>
      <w:bookmarkStart w:id="160" w:name="_Toc22977_WPSOffice_Level1"/>
      <w:bookmarkStart w:id="161" w:name="_Toc23736_WPSOffice_Level1"/>
      <w:r>
        <w:rPr>
          <w:rFonts w:hint="eastAsia" w:ascii="宋体" w:hAnsi="宋体" w:eastAsia="宋体" w:cs="宋体"/>
          <w:color w:val="auto"/>
          <w:sz w:val="28"/>
          <w:szCs w:val="28"/>
        </w:rPr>
        <w:t>供应商：</w:t>
      </w:r>
      <w:r>
        <w:rPr>
          <w:rFonts w:hint="eastAsia" w:ascii="宋体" w:hAnsi="宋体" w:eastAsia="宋体" w:cs="宋体"/>
          <w:color w:val="auto"/>
          <w:sz w:val="28"/>
          <w:szCs w:val="28"/>
          <w:u w:val="single"/>
        </w:rPr>
        <w:t xml:space="preserve">                             </w:t>
      </w:r>
      <w:bookmarkEnd w:id="160"/>
      <w:bookmarkEnd w:id="161"/>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rPr>
        <w:t>（盖单位章）</w:t>
      </w:r>
    </w:p>
    <w:p w14:paraId="42453828">
      <w:pPr>
        <w:spacing w:line="460" w:lineRule="exact"/>
        <w:ind w:firstLine="854" w:firstLineChars="305"/>
        <w:rPr>
          <w:rFonts w:hint="eastAsia" w:ascii="宋体" w:hAnsi="宋体" w:eastAsia="宋体" w:cs="宋体"/>
          <w:color w:val="auto"/>
          <w:sz w:val="28"/>
          <w:szCs w:val="28"/>
          <w:u w:val="single"/>
        </w:rPr>
      </w:pPr>
    </w:p>
    <w:p w14:paraId="6BA53CED">
      <w:pPr>
        <w:spacing w:line="460" w:lineRule="exact"/>
        <w:ind w:firstLine="854" w:firstLineChars="305"/>
        <w:rPr>
          <w:rFonts w:hint="eastAsia" w:ascii="宋体" w:hAnsi="宋体" w:eastAsia="宋体" w:cs="宋体"/>
          <w:color w:val="auto"/>
          <w:sz w:val="28"/>
          <w:szCs w:val="28"/>
          <w:u w:val="single"/>
        </w:rPr>
      </w:pPr>
      <w:r>
        <w:rPr>
          <w:rFonts w:hint="eastAsia" w:ascii="宋体" w:hAnsi="宋体" w:eastAsia="宋体" w:cs="宋体"/>
          <w:color w:val="auto"/>
          <w:sz w:val="28"/>
          <w:szCs w:val="28"/>
        </w:rPr>
        <w:t xml:space="preserve">  </w:t>
      </w:r>
      <w:bookmarkStart w:id="162" w:name="_Toc7448_WPSOffice_Level1"/>
      <w:bookmarkStart w:id="163" w:name="_Toc22449_WPSOffice_Level1"/>
      <w:r>
        <w:rPr>
          <w:rFonts w:hint="eastAsia" w:ascii="宋体" w:hAnsi="宋体" w:eastAsia="宋体" w:cs="宋体"/>
          <w:color w:val="auto"/>
          <w:sz w:val="28"/>
          <w:szCs w:val="28"/>
        </w:rPr>
        <w:t>法定代表人或其委托代理人：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（签字或盖章）</w:t>
      </w:r>
      <w:bookmarkEnd w:id="162"/>
      <w:bookmarkEnd w:id="163"/>
    </w:p>
    <w:p w14:paraId="32D4262A">
      <w:pPr>
        <w:spacing w:line="460" w:lineRule="exact"/>
        <w:jc w:val="both"/>
        <w:rPr>
          <w:rFonts w:hint="eastAsia" w:ascii="宋体" w:hAnsi="宋体" w:eastAsia="宋体" w:cs="宋体"/>
          <w:color w:val="auto"/>
          <w:sz w:val="28"/>
          <w:szCs w:val="28"/>
        </w:rPr>
      </w:pPr>
    </w:p>
    <w:p w14:paraId="73E504B9">
      <w:pPr>
        <w:spacing w:line="460" w:lineRule="exact"/>
        <w:ind w:firstLine="435"/>
        <w:jc w:val="center"/>
        <w:rPr>
          <w:rFonts w:hint="eastAsia" w:ascii="宋体" w:hAnsi="宋体" w:eastAsia="宋体" w:cs="宋体"/>
          <w:color w:val="auto"/>
          <w:sz w:val="28"/>
          <w:szCs w:val="28"/>
        </w:rPr>
      </w:pPr>
    </w:p>
    <w:p w14:paraId="09FF006A">
      <w:pPr>
        <w:spacing w:line="460" w:lineRule="exact"/>
        <w:ind w:firstLine="435"/>
        <w:jc w:val="center"/>
        <w:rPr>
          <w:rFonts w:hint="eastAsia" w:ascii="宋体" w:hAnsi="宋体" w:eastAsia="宋体" w:cs="宋体"/>
          <w:color w:val="auto"/>
          <w:sz w:val="28"/>
          <w:szCs w:val="28"/>
        </w:rPr>
      </w:pPr>
      <w:bookmarkStart w:id="164" w:name="_Toc17804_WPSOffice_Level2"/>
      <w:bookmarkStart w:id="165" w:name="_Toc11712_WPSOffice_Level2"/>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日</w:t>
      </w:r>
      <w:bookmarkEnd w:id="164"/>
      <w:bookmarkEnd w:id="165"/>
    </w:p>
    <w:p w14:paraId="5BBE5461">
      <w:pPr>
        <w:rPr>
          <w:rFonts w:hint="eastAsia" w:ascii="宋体" w:hAnsi="宋体" w:eastAsia="宋体" w:cs="宋体"/>
          <w:color w:val="auto"/>
          <w:sz w:val="28"/>
          <w:szCs w:val="28"/>
        </w:rPr>
      </w:pPr>
    </w:p>
    <w:p w14:paraId="4DF403DC">
      <w:pPr>
        <w:jc w:val="center"/>
        <w:rPr>
          <w:rFonts w:hint="eastAsia" w:ascii="宋体" w:hAnsi="宋体" w:eastAsia="宋体" w:cs="宋体"/>
          <w:color w:val="auto"/>
          <w:sz w:val="32"/>
        </w:rPr>
        <w:sectPr>
          <w:footerReference r:id="rId8" w:type="default"/>
          <w:pgSz w:w="11910" w:h="16840"/>
          <w:pgMar w:top="1400" w:right="1240" w:bottom="1220" w:left="1240" w:header="877" w:footer="1033" w:gutter="0"/>
          <w:pgNumType w:fmt="decimal"/>
          <w:cols w:space="720" w:num="1"/>
        </w:sectPr>
      </w:pPr>
    </w:p>
    <w:p w14:paraId="1F4A90F8">
      <w:pPr>
        <w:jc w:val="center"/>
        <w:outlineLvl w:val="2"/>
        <w:rPr>
          <w:b/>
          <w:color w:val="auto"/>
          <w:sz w:val="28"/>
          <w:szCs w:val="28"/>
        </w:rPr>
      </w:pPr>
      <w:r>
        <w:rPr>
          <w:b/>
          <w:color w:val="auto"/>
          <w:sz w:val="28"/>
          <w:szCs w:val="28"/>
        </w:rPr>
        <w:t>一、报价表格式</w:t>
      </w:r>
    </w:p>
    <w:p w14:paraId="25C49909">
      <w:pPr>
        <w:autoSpaceDE w:val="0"/>
        <w:autoSpaceDN w:val="0"/>
        <w:spacing w:before="240" w:beforeLines="100" w:line="360" w:lineRule="auto"/>
        <w:ind w:left="82" w:leftChars="39" w:firstLine="211" w:firstLineChars="100"/>
        <w:jc w:val="left"/>
        <w:outlineLvl w:val="3"/>
        <w:rPr>
          <w:rFonts w:hint="eastAsia" w:ascii="宋体" w:hAnsi="宋体" w:cs="宋体"/>
          <w:b/>
          <w:color w:val="auto"/>
          <w:kern w:val="0"/>
          <w:lang w:val="zh-CN" w:bidi="zh-CN"/>
        </w:rPr>
      </w:pPr>
      <w:r>
        <w:rPr>
          <w:rFonts w:hint="eastAsia" w:ascii="宋体" w:hAnsi="宋体" w:cs="宋体"/>
          <w:b/>
          <w:color w:val="auto"/>
          <w:kern w:val="0"/>
          <w:lang w:val="zh-CN" w:bidi="zh-CN"/>
        </w:rPr>
        <w:t xml:space="preserve">1-1 </w:t>
      </w:r>
      <w:r>
        <w:rPr>
          <w:rFonts w:ascii="宋体" w:hAnsi="宋体" w:cs="宋体"/>
          <w:b/>
          <w:color w:val="auto"/>
          <w:kern w:val="0"/>
          <w:lang w:val="zh-CN" w:bidi="zh-CN"/>
        </w:rPr>
        <w:t>报价表</w:t>
      </w:r>
    </w:p>
    <w:p w14:paraId="49120DF1">
      <w:pPr>
        <w:autoSpaceDE w:val="0"/>
        <w:autoSpaceDN w:val="0"/>
        <w:spacing w:line="360" w:lineRule="auto"/>
        <w:ind w:left="29" w:leftChars="14" w:firstLine="211" w:firstLineChars="100"/>
        <w:jc w:val="left"/>
        <w:rPr>
          <w:rFonts w:hint="eastAsia" w:ascii="宋体" w:hAnsi="宋体" w:cs="宋体"/>
          <w:b/>
          <w:color w:val="auto"/>
          <w:kern w:val="0"/>
          <w:lang w:val="zh-CN" w:bidi="zh-CN"/>
        </w:rPr>
      </w:pPr>
      <w:r>
        <w:rPr>
          <w:rFonts w:ascii="宋体" w:hAnsi="宋体" w:cs="宋体"/>
          <w:b/>
          <w:color w:val="auto"/>
          <w:kern w:val="0"/>
          <w:lang w:val="zh-CN" w:bidi="zh-CN"/>
        </w:rPr>
        <w:t>项目名称：</w:t>
      </w:r>
      <w:r>
        <w:rPr>
          <w:rFonts w:ascii="宋体" w:hAnsi="宋体" w:cs="宋体"/>
          <w:b/>
          <w:color w:val="auto"/>
          <w:kern w:val="0"/>
          <w:u w:val="single"/>
          <w:lang w:val="zh-CN" w:bidi="zh-CN"/>
        </w:rPr>
        <w:t xml:space="preserve">  </w:t>
      </w:r>
      <w:r>
        <w:rPr>
          <w:rFonts w:hint="eastAsia" w:ascii="宋体" w:hAnsi="宋体" w:cs="宋体"/>
          <w:b/>
          <w:color w:val="auto"/>
          <w:kern w:val="0"/>
          <w:u w:val="single"/>
          <w:lang w:val="zh-CN" w:bidi="zh-CN"/>
        </w:rPr>
        <w:t xml:space="preserve"> </w:t>
      </w:r>
      <w:r>
        <w:rPr>
          <w:rFonts w:ascii="宋体" w:hAnsi="宋体" w:cs="宋体"/>
          <w:b/>
          <w:color w:val="auto"/>
          <w:kern w:val="0"/>
          <w:u w:val="single"/>
          <w:lang w:val="zh-CN" w:bidi="zh-CN"/>
        </w:rPr>
        <w:tab/>
      </w:r>
      <w:r>
        <w:rPr>
          <w:rFonts w:ascii="宋体" w:hAnsi="宋体" w:cs="宋体"/>
          <w:b/>
          <w:color w:val="auto"/>
          <w:kern w:val="0"/>
          <w:u w:val="single"/>
          <w:lang w:val="zh-CN" w:bidi="zh-CN"/>
        </w:rPr>
        <w:t xml:space="preserve"> </w:t>
      </w:r>
      <w:r>
        <w:rPr>
          <w:rFonts w:hint="eastAsia" w:ascii="宋体" w:hAnsi="宋体" w:cs="宋体"/>
          <w:b/>
          <w:color w:val="auto"/>
          <w:kern w:val="0"/>
          <w:u w:val="single"/>
          <w:lang w:val="zh-CN" w:bidi="zh-CN"/>
        </w:rPr>
        <w:t xml:space="preserve">                </w:t>
      </w:r>
    </w:p>
    <w:tbl>
      <w:tblPr>
        <w:tblStyle w:val="24"/>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5DB5F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6" w:hRule="atLeast"/>
        </w:trPr>
        <w:tc>
          <w:tcPr>
            <w:tcW w:w="2461" w:type="dxa"/>
          </w:tcPr>
          <w:p w14:paraId="25B1C9D1">
            <w:pPr>
              <w:pStyle w:val="37"/>
              <w:spacing w:before="177" w:line="360" w:lineRule="auto"/>
              <w:ind w:left="243" w:right="238"/>
              <w:jc w:val="center"/>
              <w:rPr>
                <w:rFonts w:hint="eastAsia"/>
                <w:b/>
                <w:color w:val="auto"/>
                <w:sz w:val="21"/>
                <w:szCs w:val="21"/>
                <w:lang w:eastAsia="en-US"/>
              </w:rPr>
            </w:pPr>
            <w:r>
              <w:rPr>
                <w:b/>
                <w:color w:val="auto"/>
                <w:sz w:val="21"/>
                <w:szCs w:val="21"/>
                <w:lang w:eastAsia="en-US"/>
              </w:rPr>
              <w:t>供应商名称</w:t>
            </w:r>
          </w:p>
        </w:tc>
        <w:tc>
          <w:tcPr>
            <w:tcW w:w="6064" w:type="dxa"/>
          </w:tcPr>
          <w:p w14:paraId="37561D80">
            <w:pPr>
              <w:pStyle w:val="37"/>
              <w:spacing w:line="360" w:lineRule="auto"/>
              <w:rPr>
                <w:rFonts w:hint="eastAsia"/>
                <w:color w:val="auto"/>
                <w:sz w:val="21"/>
                <w:szCs w:val="21"/>
                <w:lang w:eastAsia="en-US"/>
              </w:rPr>
            </w:pPr>
          </w:p>
        </w:tc>
      </w:tr>
      <w:tr w14:paraId="3215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tcPr>
          <w:p w14:paraId="159A13C5">
            <w:pPr>
              <w:pStyle w:val="37"/>
              <w:spacing w:before="11" w:line="360" w:lineRule="auto"/>
              <w:rPr>
                <w:rFonts w:hint="eastAsia"/>
                <w:b/>
                <w:color w:val="auto"/>
                <w:sz w:val="21"/>
                <w:szCs w:val="21"/>
                <w:lang w:eastAsia="en-US"/>
              </w:rPr>
            </w:pPr>
          </w:p>
          <w:p w14:paraId="4455531F">
            <w:pPr>
              <w:pStyle w:val="37"/>
              <w:spacing w:line="360" w:lineRule="auto"/>
              <w:ind w:left="243" w:right="238"/>
              <w:jc w:val="center"/>
              <w:rPr>
                <w:rFonts w:hint="eastAsia"/>
                <w:b/>
                <w:color w:val="auto"/>
                <w:sz w:val="21"/>
                <w:szCs w:val="21"/>
                <w:lang w:eastAsia="en-US"/>
              </w:rPr>
            </w:pPr>
            <w:r>
              <w:rPr>
                <w:b/>
                <w:color w:val="auto"/>
                <w:sz w:val="21"/>
                <w:szCs w:val="21"/>
                <w:lang w:eastAsia="en-US"/>
              </w:rPr>
              <w:t>磋商范围</w:t>
            </w:r>
          </w:p>
        </w:tc>
        <w:tc>
          <w:tcPr>
            <w:tcW w:w="6064" w:type="dxa"/>
          </w:tcPr>
          <w:p w14:paraId="38F51950">
            <w:pPr>
              <w:pStyle w:val="37"/>
              <w:spacing w:before="11" w:line="360" w:lineRule="auto"/>
              <w:rPr>
                <w:rFonts w:hint="eastAsia"/>
                <w:b/>
                <w:color w:val="auto"/>
                <w:sz w:val="21"/>
                <w:szCs w:val="21"/>
                <w:lang w:eastAsia="en-US"/>
              </w:rPr>
            </w:pPr>
          </w:p>
          <w:p w14:paraId="16A2ED41">
            <w:pPr>
              <w:pStyle w:val="37"/>
              <w:tabs>
                <w:tab w:val="left" w:pos="1547"/>
              </w:tabs>
              <w:spacing w:line="360" w:lineRule="auto"/>
              <w:ind w:left="107"/>
              <w:rPr>
                <w:rFonts w:hint="eastAsia"/>
                <w:color w:val="auto"/>
                <w:sz w:val="21"/>
                <w:szCs w:val="21"/>
                <w:lang w:eastAsia="en-US"/>
              </w:rPr>
            </w:pPr>
            <w:r>
              <w:rPr>
                <w:color w:val="auto"/>
                <w:sz w:val="21"/>
                <w:szCs w:val="21"/>
                <w:lang w:eastAsia="en-US"/>
              </w:rPr>
              <w:t>全部</w:t>
            </w:r>
          </w:p>
        </w:tc>
      </w:tr>
      <w:tr w14:paraId="0BB5B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tcPr>
          <w:p w14:paraId="5E1A3F83">
            <w:pPr>
              <w:pStyle w:val="37"/>
              <w:spacing w:before="7" w:line="360" w:lineRule="auto"/>
              <w:rPr>
                <w:rFonts w:hint="eastAsia"/>
                <w:b/>
                <w:color w:val="auto"/>
                <w:sz w:val="21"/>
                <w:szCs w:val="21"/>
              </w:rPr>
            </w:pPr>
          </w:p>
          <w:p w14:paraId="7A3B7CA9">
            <w:pPr>
              <w:pStyle w:val="37"/>
              <w:spacing w:line="360" w:lineRule="auto"/>
              <w:ind w:left="245" w:right="235"/>
              <w:jc w:val="center"/>
              <w:rPr>
                <w:rFonts w:hint="eastAsia"/>
                <w:b/>
                <w:color w:val="auto"/>
                <w:sz w:val="21"/>
                <w:szCs w:val="21"/>
              </w:rPr>
            </w:pPr>
            <w:r>
              <w:rPr>
                <w:b/>
                <w:color w:val="auto"/>
                <w:sz w:val="21"/>
                <w:szCs w:val="21"/>
              </w:rPr>
              <w:t>报价</w:t>
            </w:r>
          </w:p>
          <w:p w14:paraId="58BDCEC0">
            <w:pPr>
              <w:pStyle w:val="37"/>
              <w:spacing w:before="161" w:line="360" w:lineRule="auto"/>
              <w:ind w:left="245" w:right="238"/>
              <w:jc w:val="center"/>
              <w:rPr>
                <w:rFonts w:hint="eastAsia"/>
                <w:b/>
                <w:color w:val="auto"/>
                <w:sz w:val="21"/>
                <w:szCs w:val="21"/>
              </w:rPr>
            </w:pPr>
            <w:r>
              <w:rPr>
                <w:b/>
                <w:color w:val="auto"/>
                <w:sz w:val="21"/>
                <w:szCs w:val="21"/>
              </w:rPr>
              <w:t>（详见备注说明）</w:t>
            </w:r>
          </w:p>
        </w:tc>
        <w:tc>
          <w:tcPr>
            <w:tcW w:w="6064" w:type="dxa"/>
          </w:tcPr>
          <w:p w14:paraId="3869C958">
            <w:pPr>
              <w:pStyle w:val="37"/>
              <w:spacing w:line="360" w:lineRule="auto"/>
              <w:rPr>
                <w:rFonts w:hint="eastAsia"/>
                <w:b/>
                <w:color w:val="auto"/>
                <w:sz w:val="21"/>
                <w:szCs w:val="21"/>
              </w:rPr>
            </w:pPr>
          </w:p>
          <w:p w14:paraId="3510D55A">
            <w:pPr>
              <w:pStyle w:val="37"/>
              <w:spacing w:before="9" w:line="360" w:lineRule="auto"/>
              <w:rPr>
                <w:rFonts w:hint="eastAsia"/>
                <w:b/>
                <w:color w:val="auto"/>
                <w:sz w:val="21"/>
                <w:szCs w:val="21"/>
              </w:rPr>
            </w:pPr>
          </w:p>
          <w:p w14:paraId="182CECB7">
            <w:pPr>
              <w:pStyle w:val="37"/>
              <w:tabs>
                <w:tab w:val="left" w:pos="4482"/>
              </w:tabs>
              <w:spacing w:line="360" w:lineRule="auto"/>
              <w:ind w:left="107"/>
              <w:rPr>
                <w:rFonts w:hint="eastAsia"/>
                <w:color w:val="auto"/>
                <w:sz w:val="21"/>
                <w:szCs w:val="21"/>
                <w:lang w:val="en-US"/>
              </w:rPr>
            </w:pPr>
            <w:r>
              <w:rPr>
                <w:rFonts w:hint="eastAsia"/>
                <w:color w:val="auto"/>
                <w:lang w:val="en-US"/>
              </w:rPr>
              <w:t>人民币</w:t>
            </w:r>
            <w:r>
              <w:rPr>
                <w:rFonts w:hint="eastAsia"/>
                <w:color w:val="auto"/>
              </w:rPr>
              <w:t>（大写）</w:t>
            </w:r>
            <w:r>
              <w:rPr>
                <w:color w:val="auto"/>
                <w:u w:val="single"/>
              </w:rPr>
              <w:t xml:space="preserve">          </w:t>
            </w:r>
            <w:r>
              <w:rPr>
                <w:rFonts w:hint="eastAsia"/>
                <w:color w:val="auto"/>
              </w:rPr>
              <w:t>（小写</w:t>
            </w:r>
            <w:r>
              <w:rPr>
                <w:color w:val="auto"/>
                <w:u w:val="single"/>
              </w:rPr>
              <w:t xml:space="preserve">            </w:t>
            </w:r>
            <w:r>
              <w:rPr>
                <w:rFonts w:hint="eastAsia"/>
                <w:color w:val="auto"/>
              </w:rPr>
              <w:t>）</w:t>
            </w:r>
            <w:r>
              <w:rPr>
                <w:rFonts w:hint="eastAsia"/>
                <w:color w:val="auto"/>
                <w:lang w:val="en-US"/>
              </w:rPr>
              <w:t>元</w:t>
            </w:r>
          </w:p>
        </w:tc>
      </w:tr>
      <w:tr w14:paraId="1D2A8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tcPr>
          <w:p w14:paraId="357D6660">
            <w:pPr>
              <w:pStyle w:val="37"/>
              <w:spacing w:line="360" w:lineRule="auto"/>
              <w:rPr>
                <w:rFonts w:hint="eastAsia"/>
                <w:b/>
                <w:color w:val="auto"/>
                <w:sz w:val="21"/>
                <w:szCs w:val="21"/>
              </w:rPr>
            </w:pPr>
          </w:p>
          <w:p w14:paraId="185AE978">
            <w:pPr>
              <w:pStyle w:val="37"/>
              <w:spacing w:line="360" w:lineRule="auto"/>
              <w:rPr>
                <w:rFonts w:hint="eastAsia"/>
                <w:b/>
                <w:color w:val="auto"/>
                <w:sz w:val="21"/>
                <w:szCs w:val="21"/>
              </w:rPr>
            </w:pPr>
          </w:p>
          <w:p w14:paraId="0B093E9D">
            <w:pPr>
              <w:pStyle w:val="37"/>
              <w:spacing w:line="360" w:lineRule="auto"/>
              <w:rPr>
                <w:rFonts w:hint="eastAsia"/>
                <w:b/>
                <w:color w:val="auto"/>
                <w:sz w:val="21"/>
                <w:szCs w:val="21"/>
              </w:rPr>
            </w:pPr>
          </w:p>
          <w:p w14:paraId="611B6D2C">
            <w:pPr>
              <w:pStyle w:val="37"/>
              <w:spacing w:before="215" w:line="360" w:lineRule="auto"/>
              <w:ind w:left="243" w:right="238"/>
              <w:jc w:val="center"/>
              <w:rPr>
                <w:rFonts w:hint="eastAsia"/>
                <w:b/>
                <w:color w:val="auto"/>
                <w:sz w:val="21"/>
                <w:szCs w:val="21"/>
                <w:lang w:eastAsia="en-US"/>
              </w:rPr>
            </w:pPr>
            <w:r>
              <w:rPr>
                <w:b/>
                <w:color w:val="auto"/>
                <w:sz w:val="21"/>
                <w:szCs w:val="21"/>
                <w:lang w:eastAsia="en-US"/>
              </w:rPr>
              <w:t>备注说明</w:t>
            </w:r>
          </w:p>
        </w:tc>
        <w:tc>
          <w:tcPr>
            <w:tcW w:w="6064" w:type="dxa"/>
          </w:tcPr>
          <w:p w14:paraId="09420B85">
            <w:pPr>
              <w:pStyle w:val="37"/>
              <w:spacing w:line="360" w:lineRule="auto"/>
              <w:rPr>
                <w:rFonts w:hint="eastAsia"/>
                <w:color w:val="auto"/>
                <w:sz w:val="21"/>
                <w:szCs w:val="21"/>
                <w:lang w:eastAsia="en-US"/>
              </w:rPr>
            </w:pPr>
          </w:p>
        </w:tc>
      </w:tr>
    </w:tbl>
    <w:p w14:paraId="534F2EE8">
      <w:pPr>
        <w:pStyle w:val="12"/>
        <w:tabs>
          <w:tab w:val="left" w:pos="7181"/>
        </w:tabs>
        <w:spacing w:line="360" w:lineRule="auto"/>
        <w:ind w:right="1223" w:firstLine="3990" w:firstLineChars="1900"/>
        <w:rPr>
          <w:rFonts w:hint="eastAsia"/>
          <w:color w:val="auto"/>
          <w:spacing w:val="-18"/>
          <w:sz w:val="21"/>
          <w:szCs w:val="21"/>
        </w:rPr>
      </w:pPr>
      <w:r>
        <w:rPr>
          <w:color w:val="auto"/>
          <w:sz w:val="21"/>
          <w:szCs w:val="21"/>
        </w:rPr>
        <w:t>供应商公章</w:t>
      </w:r>
      <w:r>
        <w:rPr>
          <w:color w:val="auto"/>
          <w:spacing w:val="-18"/>
          <w:sz w:val="21"/>
          <w:szCs w:val="21"/>
        </w:rPr>
        <w:t xml:space="preserve">： </w:t>
      </w:r>
      <w:r>
        <w:rPr>
          <w:rFonts w:hint="eastAsia"/>
          <w:color w:val="auto"/>
          <w:sz w:val="21"/>
          <w:szCs w:val="21"/>
          <w:u w:val="single"/>
        </w:rPr>
        <w:t xml:space="preserve">            </w:t>
      </w:r>
    </w:p>
    <w:p w14:paraId="3FA64BF9">
      <w:pPr>
        <w:pStyle w:val="12"/>
        <w:tabs>
          <w:tab w:val="left" w:pos="5841"/>
          <w:tab w:val="left" w:pos="8923"/>
        </w:tabs>
        <w:spacing w:before="79" w:line="360" w:lineRule="auto"/>
        <w:ind w:right="501"/>
        <w:jc w:val="right"/>
        <w:rPr>
          <w:rFonts w:hint="eastAsia"/>
          <w:color w:val="auto"/>
          <w:sz w:val="21"/>
          <w:szCs w:val="21"/>
        </w:rPr>
      </w:pPr>
      <w:r>
        <w:rPr>
          <w:rFonts w:hint="eastAsia"/>
          <w:color w:val="auto"/>
          <w:sz w:val="21"/>
          <w:szCs w:val="21"/>
        </w:rPr>
        <w:t>法定代表人或其委托代理人：</w:t>
      </w:r>
      <w:r>
        <w:rPr>
          <w:rFonts w:hint="eastAsia"/>
          <w:color w:val="auto"/>
          <w:sz w:val="21"/>
          <w:szCs w:val="21"/>
          <w:u w:val="single"/>
        </w:rPr>
        <w:t xml:space="preserve">  （签字或盖章）</w:t>
      </w:r>
    </w:p>
    <w:p w14:paraId="0924F893">
      <w:pPr>
        <w:pStyle w:val="12"/>
        <w:tabs>
          <w:tab w:val="left" w:pos="6705"/>
        </w:tabs>
        <w:spacing w:line="360" w:lineRule="auto"/>
        <w:ind w:right="1223" w:firstLine="4620" w:firstLineChars="2200"/>
        <w:rPr>
          <w:rFonts w:hint="eastAsia"/>
          <w:color w:val="auto"/>
          <w:sz w:val="21"/>
          <w:szCs w:val="21"/>
          <w:u w:val="single"/>
        </w:rPr>
      </w:pPr>
      <w:r>
        <w:rPr>
          <w:color w:val="auto"/>
          <w:sz w:val="21"/>
          <w:szCs w:val="21"/>
        </w:rPr>
        <w:t>日</w:t>
      </w:r>
      <w:r>
        <w:rPr>
          <w:rFonts w:hint="eastAsia"/>
          <w:color w:val="auto"/>
          <w:sz w:val="21"/>
          <w:szCs w:val="21"/>
        </w:rPr>
        <w:t xml:space="preserve">    </w:t>
      </w:r>
      <w:r>
        <w:rPr>
          <w:color w:val="auto"/>
          <w:sz w:val="21"/>
          <w:szCs w:val="21"/>
        </w:rPr>
        <w:t>期</w:t>
      </w:r>
      <w:r>
        <w:rPr>
          <w:color w:val="auto"/>
          <w:spacing w:val="-18"/>
          <w:sz w:val="21"/>
          <w:szCs w:val="21"/>
        </w:rPr>
        <w:t>：</w:t>
      </w:r>
      <w:r>
        <w:rPr>
          <w:rFonts w:hint="eastAsia"/>
          <w:color w:val="auto"/>
          <w:sz w:val="21"/>
          <w:szCs w:val="21"/>
          <w:u w:val="single"/>
        </w:rPr>
        <w:t xml:space="preserve">        </w:t>
      </w:r>
    </w:p>
    <w:p w14:paraId="74E08895">
      <w:pPr>
        <w:autoSpaceDE w:val="0"/>
        <w:autoSpaceDN w:val="0"/>
        <w:spacing w:before="120" w:beforeLines="50" w:after="120" w:afterLines="50" w:line="360" w:lineRule="auto"/>
        <w:ind w:right="210" w:rightChars="100"/>
        <w:jc w:val="left"/>
        <w:rPr>
          <w:rFonts w:hint="eastAsia" w:ascii="宋体" w:hAnsi="宋体" w:cs="宋体"/>
          <w:b/>
          <w:color w:val="auto"/>
          <w:kern w:val="0"/>
          <w:lang w:val="zh-CN" w:bidi="zh-CN"/>
        </w:rPr>
      </w:pPr>
      <w:r>
        <w:rPr>
          <w:rFonts w:ascii="宋体" w:hAnsi="宋体" w:cs="宋体"/>
          <w:b/>
          <w:color w:val="auto"/>
          <w:kern w:val="0"/>
          <w:lang w:val="zh-CN" w:bidi="zh-CN"/>
        </w:rPr>
        <w:t>注：</w:t>
      </w:r>
    </w:p>
    <w:p w14:paraId="574908B6">
      <w:pPr>
        <w:autoSpaceDE w:val="0"/>
        <w:autoSpaceDN w:val="0"/>
        <w:spacing w:before="120" w:beforeLines="50" w:after="120" w:afterLines="50" w:line="360" w:lineRule="auto"/>
        <w:ind w:right="210" w:rightChars="100" w:firstLine="422" w:firstLineChars="200"/>
        <w:jc w:val="left"/>
        <w:rPr>
          <w:rFonts w:hint="eastAsia" w:ascii="宋体" w:hAnsi="宋体" w:cs="宋体"/>
          <w:b/>
          <w:color w:val="auto"/>
          <w:kern w:val="0"/>
          <w:lang w:val="zh-CN" w:bidi="zh-CN"/>
        </w:rPr>
      </w:pPr>
      <w:r>
        <w:rPr>
          <w:rFonts w:hint="eastAsia" w:ascii="宋体" w:hAnsi="宋体" w:cs="宋体"/>
          <w:b/>
          <w:color w:val="auto"/>
          <w:kern w:val="0"/>
          <w:lang w:bidi="zh-CN"/>
        </w:rPr>
        <w:t>1、</w:t>
      </w:r>
      <w:r>
        <w:rPr>
          <w:rFonts w:ascii="宋体" w:hAnsi="宋体" w:cs="宋体"/>
          <w:b/>
          <w:color w:val="auto"/>
          <w:kern w:val="0"/>
          <w:lang w:val="zh-CN" w:bidi="zh-CN"/>
        </w:rPr>
        <w:t>本表内容根据磋商文件要求包括了服务及其配套的设计、采购、制造、 检测、试验、运输、保险、仓储、税费以及现场落地、安装及安装耗损、调试、验收、培训、技术服务（包括技术资料、图纸的提供）质保期内的售后服务保障等所有费用。</w:t>
      </w:r>
    </w:p>
    <w:p w14:paraId="3D722629">
      <w:pPr>
        <w:autoSpaceDE w:val="0"/>
        <w:autoSpaceDN w:val="0"/>
        <w:spacing w:before="120" w:beforeLines="50" w:after="120" w:afterLines="50" w:line="360" w:lineRule="auto"/>
        <w:ind w:right="210" w:rightChars="100" w:firstLine="422" w:firstLineChars="200"/>
        <w:jc w:val="left"/>
        <w:rPr>
          <w:rFonts w:hint="eastAsia" w:ascii="宋体" w:hAnsi="宋体" w:cs="宋体"/>
          <w:b/>
          <w:color w:val="auto"/>
          <w:kern w:val="0"/>
          <w:lang w:val="zh-CN" w:bidi="zh-CN"/>
        </w:rPr>
      </w:pPr>
      <w:r>
        <w:rPr>
          <w:rFonts w:hint="eastAsia" w:ascii="宋体" w:hAnsi="宋体" w:cs="宋体"/>
          <w:b/>
          <w:color w:val="auto"/>
          <w:kern w:val="0"/>
          <w:lang w:bidi="zh-CN"/>
        </w:rPr>
        <w:t>2、</w:t>
      </w:r>
      <w:r>
        <w:rPr>
          <w:rFonts w:ascii="宋体" w:hAnsi="宋体" w:cs="宋体"/>
          <w:b/>
          <w:color w:val="auto"/>
          <w:kern w:val="0"/>
          <w:lang w:val="zh-CN" w:bidi="zh-CN"/>
        </w:rPr>
        <w:t>特殊事项在备注中注明。</w:t>
      </w:r>
    </w:p>
    <w:p w14:paraId="5B7C2625">
      <w:pPr>
        <w:autoSpaceDE w:val="0"/>
        <w:autoSpaceDN w:val="0"/>
        <w:spacing w:before="120" w:beforeLines="50" w:after="120" w:afterLines="50" w:line="360" w:lineRule="auto"/>
        <w:ind w:right="210" w:rightChars="100" w:firstLine="422" w:firstLineChars="200"/>
        <w:jc w:val="left"/>
        <w:rPr>
          <w:rFonts w:hint="eastAsia" w:ascii="宋体" w:hAnsi="宋体" w:cs="宋体"/>
          <w:b/>
          <w:color w:val="auto"/>
          <w:kern w:val="0"/>
          <w:lang w:val="zh-CN" w:bidi="zh-CN"/>
        </w:rPr>
      </w:pPr>
      <w:r>
        <w:rPr>
          <w:rFonts w:hint="eastAsia" w:ascii="宋体" w:hAnsi="宋体" w:cs="宋体"/>
          <w:b/>
          <w:color w:val="auto"/>
          <w:kern w:val="0"/>
          <w:lang w:bidi="zh-CN"/>
        </w:rPr>
        <w:t>3、</w:t>
      </w:r>
      <w:r>
        <w:rPr>
          <w:rFonts w:hint="eastAsia" w:ascii="宋体" w:hAnsi="宋体" w:cs="宋体"/>
          <w:b/>
          <w:color w:val="auto"/>
          <w:kern w:val="0"/>
          <w:lang w:val="zh-CN" w:bidi="zh-CN"/>
        </w:rPr>
        <w:t>供应商应根据其响应文件中报价表的内容填写唱标信息，唱标信息不作为评审的依据。唱标信息与报价表不一致的，以报价表为准。</w:t>
      </w:r>
    </w:p>
    <w:p w14:paraId="0AD1D793">
      <w:pPr>
        <w:autoSpaceDE w:val="0"/>
        <w:autoSpaceDN w:val="0"/>
        <w:spacing w:before="120" w:beforeLines="50" w:after="120" w:afterLines="50" w:line="360" w:lineRule="auto"/>
        <w:ind w:right="210" w:rightChars="100" w:firstLine="422" w:firstLineChars="200"/>
        <w:jc w:val="left"/>
        <w:rPr>
          <w:rFonts w:hint="eastAsia" w:ascii="宋体" w:hAnsi="宋体" w:cs="宋体"/>
          <w:b/>
          <w:color w:val="auto"/>
          <w:kern w:val="0"/>
          <w:lang w:val="zh-CN" w:bidi="zh-CN"/>
        </w:rPr>
      </w:pPr>
      <w:r>
        <w:rPr>
          <w:rFonts w:hint="eastAsia" w:ascii="宋体" w:hAnsi="宋体" w:cs="宋体"/>
          <w:b/>
          <w:color w:val="auto"/>
          <w:kern w:val="0"/>
          <w:lang w:val="zh-CN" w:bidi="zh-CN"/>
        </w:rPr>
        <w:br w:type="page"/>
      </w:r>
    </w:p>
    <w:p w14:paraId="28BF2DBA">
      <w:pPr>
        <w:jc w:val="center"/>
        <w:outlineLvl w:val="2"/>
        <w:rPr>
          <w:b/>
          <w:color w:val="auto"/>
          <w:sz w:val="28"/>
          <w:szCs w:val="28"/>
        </w:rPr>
      </w:pPr>
      <w:r>
        <w:rPr>
          <w:rFonts w:hint="eastAsia"/>
          <w:b/>
          <w:color w:val="auto"/>
          <w:sz w:val="28"/>
          <w:szCs w:val="28"/>
        </w:rPr>
        <w:t>二</w:t>
      </w:r>
      <w:r>
        <w:rPr>
          <w:b/>
          <w:color w:val="auto"/>
          <w:sz w:val="28"/>
          <w:szCs w:val="28"/>
        </w:rPr>
        <w:t>、</w:t>
      </w:r>
      <w:r>
        <w:rPr>
          <w:rFonts w:hint="eastAsia"/>
          <w:b/>
          <w:color w:val="auto"/>
          <w:sz w:val="28"/>
          <w:szCs w:val="28"/>
        </w:rPr>
        <w:t>最后承诺报价表</w:t>
      </w:r>
    </w:p>
    <w:p w14:paraId="41332E60">
      <w:pPr>
        <w:pStyle w:val="32"/>
        <w:ind w:firstLine="562"/>
        <w:rPr>
          <w:b/>
          <w:color w:val="auto"/>
          <w:sz w:val="28"/>
          <w:szCs w:val="28"/>
        </w:rPr>
      </w:pPr>
    </w:p>
    <w:p w14:paraId="3E9415A3">
      <w:pPr>
        <w:pStyle w:val="32"/>
        <w:ind w:left="0" w:leftChars="0" w:firstLine="0" w:firstLineChars="0"/>
        <w:jc w:val="center"/>
        <w:rPr>
          <w:rFonts w:hint="eastAsia" w:ascii="宋体" w:hAnsi="宋体" w:eastAsia="宋体" w:cs="宋体"/>
          <w:b/>
          <w:color w:val="auto"/>
          <w:kern w:val="0"/>
          <w:sz w:val="21"/>
          <w:szCs w:val="21"/>
          <w:lang w:val="zh-CN" w:eastAsia="zh-CN" w:bidi="zh-CN"/>
        </w:rPr>
      </w:pPr>
      <w:r>
        <w:rPr>
          <w:rFonts w:hint="eastAsia" w:ascii="宋体" w:hAnsi="宋体" w:eastAsia="宋体" w:cs="宋体"/>
          <w:b/>
          <w:color w:val="auto"/>
          <w:kern w:val="0"/>
          <w:sz w:val="21"/>
          <w:szCs w:val="21"/>
          <w:lang w:val="zh-CN" w:eastAsia="zh-CN" w:bidi="zh-CN"/>
        </w:rPr>
        <w:t>（某项目第   次报价书）</w:t>
      </w:r>
    </w:p>
    <w:p w14:paraId="06A2B0E9">
      <w:pPr>
        <w:pStyle w:val="32"/>
        <w:ind w:firstLine="2319" w:firstLineChars="1100"/>
        <w:rPr>
          <w:rFonts w:hint="eastAsia" w:ascii="宋体" w:hAnsi="宋体" w:eastAsia="宋体" w:cs="宋体"/>
          <w:b/>
          <w:color w:val="auto"/>
          <w:kern w:val="0"/>
          <w:sz w:val="21"/>
          <w:szCs w:val="21"/>
          <w:lang w:bidi="zh-CN"/>
        </w:rPr>
      </w:pPr>
    </w:p>
    <w:p w14:paraId="3175188A">
      <w:pPr>
        <w:autoSpaceDE w:val="0"/>
        <w:autoSpaceDN w:val="0"/>
        <w:spacing w:line="360" w:lineRule="auto"/>
        <w:ind w:left="29" w:leftChars="14" w:firstLine="211" w:firstLineChars="100"/>
        <w:jc w:val="left"/>
        <w:rPr>
          <w:rFonts w:hint="eastAsia" w:ascii="宋体" w:hAnsi="宋体" w:cs="宋体"/>
          <w:b/>
          <w:color w:val="auto"/>
          <w:kern w:val="0"/>
          <w:lang w:val="zh-CN" w:bidi="zh-CN"/>
        </w:rPr>
      </w:pPr>
      <w:r>
        <w:rPr>
          <w:rFonts w:ascii="宋体" w:hAnsi="宋体" w:cs="宋体"/>
          <w:b/>
          <w:color w:val="auto"/>
          <w:kern w:val="0"/>
          <w:lang w:val="zh-CN" w:bidi="zh-CN"/>
        </w:rPr>
        <w:t>项目名称：</w:t>
      </w:r>
      <w:r>
        <w:rPr>
          <w:rFonts w:ascii="宋体" w:hAnsi="宋体" w:cs="宋体"/>
          <w:b/>
          <w:color w:val="auto"/>
          <w:kern w:val="0"/>
          <w:u w:val="single"/>
          <w:lang w:val="zh-CN" w:bidi="zh-CN"/>
        </w:rPr>
        <w:t xml:space="preserve">  </w:t>
      </w:r>
      <w:r>
        <w:rPr>
          <w:rFonts w:hint="eastAsia" w:ascii="宋体" w:hAnsi="宋体" w:cs="宋体"/>
          <w:b/>
          <w:color w:val="auto"/>
          <w:kern w:val="0"/>
          <w:u w:val="single"/>
          <w:lang w:val="zh-CN" w:bidi="zh-CN"/>
        </w:rPr>
        <w:t xml:space="preserve"> </w:t>
      </w:r>
      <w:r>
        <w:rPr>
          <w:rFonts w:ascii="宋体" w:hAnsi="宋体" w:cs="宋体"/>
          <w:b/>
          <w:color w:val="auto"/>
          <w:kern w:val="0"/>
          <w:u w:val="single"/>
          <w:lang w:val="zh-CN" w:bidi="zh-CN"/>
        </w:rPr>
        <w:tab/>
      </w:r>
      <w:r>
        <w:rPr>
          <w:rFonts w:ascii="宋体" w:hAnsi="宋体" w:cs="宋体"/>
          <w:b/>
          <w:color w:val="auto"/>
          <w:kern w:val="0"/>
          <w:u w:val="single"/>
          <w:lang w:val="zh-CN" w:bidi="zh-CN"/>
        </w:rPr>
        <w:t xml:space="preserve"> </w:t>
      </w:r>
      <w:r>
        <w:rPr>
          <w:rFonts w:hint="eastAsia" w:ascii="宋体" w:hAnsi="宋体" w:cs="宋体"/>
          <w:b/>
          <w:color w:val="auto"/>
          <w:kern w:val="0"/>
          <w:u w:val="single"/>
          <w:lang w:val="zh-CN" w:bidi="zh-CN"/>
        </w:rPr>
        <w:t xml:space="preserve">                </w:t>
      </w:r>
    </w:p>
    <w:p w14:paraId="200894A9">
      <w:pPr>
        <w:autoSpaceDE w:val="0"/>
        <w:autoSpaceDN w:val="0"/>
        <w:spacing w:line="360" w:lineRule="auto"/>
        <w:ind w:left="29" w:leftChars="14" w:firstLine="211" w:firstLineChars="100"/>
        <w:jc w:val="left"/>
        <w:rPr>
          <w:rFonts w:hint="eastAsia" w:ascii="宋体" w:hAnsi="宋体" w:cs="宋体"/>
          <w:b/>
          <w:color w:val="auto"/>
          <w:kern w:val="0"/>
          <w:lang w:val="zh-CN" w:bidi="zh-CN"/>
        </w:rPr>
      </w:pPr>
      <w:r>
        <w:rPr>
          <w:rFonts w:ascii="宋体" w:hAnsi="宋体" w:cs="宋体"/>
          <w:b/>
          <w:color w:val="auto"/>
          <w:kern w:val="0"/>
          <w:lang w:val="zh-CN" w:bidi="zh-CN"/>
        </w:rPr>
        <w:tab/>
      </w:r>
      <w:r>
        <w:rPr>
          <w:rFonts w:hint="eastAsia" w:ascii="宋体" w:hAnsi="宋体" w:cs="宋体"/>
          <w:b/>
          <w:color w:val="auto"/>
          <w:kern w:val="0"/>
          <w:lang w:val="zh-CN" w:bidi="zh-CN"/>
        </w:rPr>
        <w:t xml:space="preserve">                 </w:t>
      </w:r>
    </w:p>
    <w:tbl>
      <w:tblPr>
        <w:tblStyle w:val="24"/>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1"/>
        <w:gridCol w:w="6064"/>
      </w:tblGrid>
      <w:tr w14:paraId="49FB1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461" w:type="dxa"/>
          </w:tcPr>
          <w:p w14:paraId="3AB2ED48">
            <w:pPr>
              <w:pStyle w:val="37"/>
              <w:spacing w:before="177" w:line="360" w:lineRule="auto"/>
              <w:ind w:left="243" w:right="238"/>
              <w:jc w:val="center"/>
              <w:rPr>
                <w:rFonts w:hint="eastAsia"/>
                <w:b/>
                <w:color w:val="auto"/>
                <w:sz w:val="21"/>
                <w:szCs w:val="21"/>
                <w:lang w:eastAsia="en-US"/>
              </w:rPr>
            </w:pPr>
            <w:r>
              <w:rPr>
                <w:b/>
                <w:color w:val="auto"/>
                <w:sz w:val="21"/>
                <w:szCs w:val="21"/>
                <w:lang w:eastAsia="en-US"/>
              </w:rPr>
              <w:t>供应商名称</w:t>
            </w:r>
          </w:p>
        </w:tc>
        <w:tc>
          <w:tcPr>
            <w:tcW w:w="6064" w:type="dxa"/>
          </w:tcPr>
          <w:p w14:paraId="1B232A81">
            <w:pPr>
              <w:pStyle w:val="37"/>
              <w:spacing w:line="360" w:lineRule="auto"/>
              <w:rPr>
                <w:rFonts w:hint="eastAsia"/>
                <w:color w:val="auto"/>
                <w:sz w:val="21"/>
                <w:szCs w:val="21"/>
                <w:lang w:eastAsia="en-US"/>
              </w:rPr>
            </w:pPr>
          </w:p>
        </w:tc>
      </w:tr>
      <w:tr w14:paraId="3CFF1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5" w:hRule="atLeast"/>
        </w:trPr>
        <w:tc>
          <w:tcPr>
            <w:tcW w:w="2461" w:type="dxa"/>
          </w:tcPr>
          <w:p w14:paraId="4D667A26">
            <w:pPr>
              <w:pStyle w:val="37"/>
              <w:spacing w:before="11" w:line="360" w:lineRule="auto"/>
              <w:rPr>
                <w:rFonts w:hint="eastAsia"/>
                <w:b/>
                <w:color w:val="auto"/>
                <w:sz w:val="21"/>
                <w:szCs w:val="21"/>
                <w:lang w:eastAsia="en-US"/>
              </w:rPr>
            </w:pPr>
          </w:p>
          <w:p w14:paraId="4A2E1329">
            <w:pPr>
              <w:pStyle w:val="37"/>
              <w:spacing w:line="360" w:lineRule="auto"/>
              <w:ind w:left="243" w:right="238"/>
              <w:jc w:val="center"/>
              <w:rPr>
                <w:rFonts w:hint="eastAsia"/>
                <w:b/>
                <w:color w:val="auto"/>
                <w:sz w:val="21"/>
                <w:szCs w:val="21"/>
                <w:lang w:eastAsia="en-US"/>
              </w:rPr>
            </w:pPr>
            <w:r>
              <w:rPr>
                <w:b/>
                <w:color w:val="auto"/>
                <w:sz w:val="21"/>
                <w:szCs w:val="21"/>
                <w:lang w:eastAsia="en-US"/>
              </w:rPr>
              <w:t>磋商范围</w:t>
            </w:r>
          </w:p>
        </w:tc>
        <w:tc>
          <w:tcPr>
            <w:tcW w:w="6064" w:type="dxa"/>
          </w:tcPr>
          <w:p w14:paraId="7CC2EF16">
            <w:pPr>
              <w:pStyle w:val="37"/>
              <w:spacing w:before="11" w:line="360" w:lineRule="auto"/>
              <w:rPr>
                <w:rFonts w:hint="eastAsia"/>
                <w:b/>
                <w:color w:val="auto"/>
                <w:sz w:val="21"/>
                <w:szCs w:val="21"/>
                <w:lang w:eastAsia="en-US"/>
              </w:rPr>
            </w:pPr>
          </w:p>
          <w:p w14:paraId="173F2183">
            <w:pPr>
              <w:pStyle w:val="37"/>
              <w:tabs>
                <w:tab w:val="left" w:pos="1547"/>
              </w:tabs>
              <w:spacing w:line="360" w:lineRule="auto"/>
              <w:ind w:left="107"/>
              <w:rPr>
                <w:rFonts w:hint="eastAsia"/>
                <w:color w:val="auto"/>
                <w:sz w:val="21"/>
                <w:szCs w:val="21"/>
                <w:lang w:eastAsia="en-US"/>
              </w:rPr>
            </w:pPr>
            <w:r>
              <w:rPr>
                <w:color w:val="auto"/>
                <w:sz w:val="21"/>
                <w:szCs w:val="21"/>
                <w:lang w:eastAsia="en-US"/>
              </w:rPr>
              <w:t>全部</w:t>
            </w:r>
          </w:p>
        </w:tc>
      </w:tr>
      <w:tr w14:paraId="06447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1" w:hRule="atLeast"/>
        </w:trPr>
        <w:tc>
          <w:tcPr>
            <w:tcW w:w="2461" w:type="dxa"/>
          </w:tcPr>
          <w:p w14:paraId="2B002C68">
            <w:pPr>
              <w:pStyle w:val="37"/>
              <w:spacing w:before="7" w:line="360" w:lineRule="auto"/>
              <w:rPr>
                <w:rFonts w:hint="eastAsia"/>
                <w:b/>
                <w:color w:val="auto"/>
                <w:sz w:val="21"/>
                <w:szCs w:val="21"/>
              </w:rPr>
            </w:pPr>
          </w:p>
          <w:p w14:paraId="44F00193">
            <w:pPr>
              <w:pStyle w:val="37"/>
              <w:spacing w:line="360" w:lineRule="auto"/>
              <w:ind w:left="245" w:right="235"/>
              <w:jc w:val="center"/>
              <w:rPr>
                <w:rFonts w:hint="eastAsia"/>
                <w:b/>
                <w:color w:val="auto"/>
                <w:sz w:val="21"/>
                <w:szCs w:val="21"/>
              </w:rPr>
            </w:pPr>
            <w:r>
              <w:rPr>
                <w:b/>
                <w:color w:val="auto"/>
                <w:sz w:val="21"/>
                <w:szCs w:val="21"/>
              </w:rPr>
              <w:t>报价</w:t>
            </w:r>
          </w:p>
          <w:p w14:paraId="06774853">
            <w:pPr>
              <w:pStyle w:val="37"/>
              <w:spacing w:before="161" w:line="360" w:lineRule="auto"/>
              <w:ind w:left="245" w:right="238"/>
              <w:jc w:val="center"/>
              <w:rPr>
                <w:rFonts w:hint="eastAsia"/>
                <w:b/>
                <w:color w:val="auto"/>
                <w:sz w:val="21"/>
                <w:szCs w:val="21"/>
              </w:rPr>
            </w:pPr>
            <w:r>
              <w:rPr>
                <w:b/>
                <w:color w:val="auto"/>
                <w:sz w:val="21"/>
                <w:szCs w:val="21"/>
              </w:rPr>
              <w:t>（详见备注说明）</w:t>
            </w:r>
          </w:p>
        </w:tc>
        <w:tc>
          <w:tcPr>
            <w:tcW w:w="6064" w:type="dxa"/>
          </w:tcPr>
          <w:p w14:paraId="281473D4">
            <w:pPr>
              <w:pStyle w:val="37"/>
              <w:spacing w:line="360" w:lineRule="auto"/>
              <w:rPr>
                <w:rFonts w:hint="eastAsia"/>
                <w:b/>
                <w:color w:val="auto"/>
                <w:sz w:val="21"/>
                <w:szCs w:val="21"/>
              </w:rPr>
            </w:pPr>
          </w:p>
          <w:p w14:paraId="5E3AC3B8">
            <w:pPr>
              <w:pStyle w:val="37"/>
              <w:spacing w:before="9" w:line="360" w:lineRule="auto"/>
              <w:rPr>
                <w:rFonts w:hint="eastAsia"/>
                <w:b/>
                <w:color w:val="auto"/>
                <w:sz w:val="21"/>
                <w:szCs w:val="21"/>
              </w:rPr>
            </w:pPr>
          </w:p>
          <w:p w14:paraId="6EA229B8">
            <w:pPr>
              <w:pStyle w:val="37"/>
              <w:tabs>
                <w:tab w:val="left" w:pos="4482"/>
              </w:tabs>
              <w:spacing w:line="360" w:lineRule="auto"/>
              <w:ind w:left="107"/>
              <w:rPr>
                <w:rFonts w:hint="eastAsia"/>
                <w:color w:val="auto"/>
                <w:sz w:val="21"/>
                <w:szCs w:val="21"/>
                <w:lang w:val="en-US"/>
              </w:rPr>
            </w:pPr>
            <w:r>
              <w:rPr>
                <w:rFonts w:hint="eastAsia"/>
                <w:color w:val="auto"/>
                <w:lang w:val="en-US"/>
              </w:rPr>
              <w:t>人民币</w:t>
            </w:r>
            <w:r>
              <w:rPr>
                <w:rFonts w:hint="eastAsia"/>
                <w:color w:val="auto"/>
              </w:rPr>
              <w:t>（大写）</w:t>
            </w:r>
            <w:r>
              <w:rPr>
                <w:color w:val="auto"/>
                <w:u w:val="single"/>
              </w:rPr>
              <w:t xml:space="preserve">          </w:t>
            </w:r>
            <w:r>
              <w:rPr>
                <w:rFonts w:hint="eastAsia"/>
                <w:color w:val="auto"/>
              </w:rPr>
              <w:t>（小写</w:t>
            </w:r>
            <w:r>
              <w:rPr>
                <w:color w:val="auto"/>
                <w:u w:val="single"/>
              </w:rPr>
              <w:t xml:space="preserve">            </w:t>
            </w:r>
            <w:r>
              <w:rPr>
                <w:rFonts w:hint="eastAsia"/>
                <w:color w:val="auto"/>
              </w:rPr>
              <w:t>）</w:t>
            </w:r>
            <w:r>
              <w:rPr>
                <w:rFonts w:hint="eastAsia"/>
                <w:color w:val="auto"/>
                <w:lang w:val="en-US"/>
              </w:rPr>
              <w:t>元</w:t>
            </w:r>
          </w:p>
        </w:tc>
      </w:tr>
      <w:tr w14:paraId="4ACA4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7" w:hRule="atLeast"/>
        </w:trPr>
        <w:tc>
          <w:tcPr>
            <w:tcW w:w="2461" w:type="dxa"/>
          </w:tcPr>
          <w:p w14:paraId="666CB134">
            <w:pPr>
              <w:pStyle w:val="37"/>
              <w:spacing w:line="360" w:lineRule="auto"/>
              <w:rPr>
                <w:rFonts w:hint="eastAsia"/>
                <w:b/>
                <w:color w:val="auto"/>
                <w:sz w:val="21"/>
                <w:szCs w:val="21"/>
              </w:rPr>
            </w:pPr>
          </w:p>
          <w:p w14:paraId="208AC7C2">
            <w:pPr>
              <w:pStyle w:val="37"/>
              <w:spacing w:line="360" w:lineRule="auto"/>
              <w:rPr>
                <w:rFonts w:hint="eastAsia"/>
                <w:b/>
                <w:color w:val="auto"/>
                <w:sz w:val="21"/>
                <w:szCs w:val="21"/>
              </w:rPr>
            </w:pPr>
          </w:p>
          <w:p w14:paraId="77291A88">
            <w:pPr>
              <w:pStyle w:val="37"/>
              <w:spacing w:line="360" w:lineRule="auto"/>
              <w:rPr>
                <w:rFonts w:hint="eastAsia"/>
                <w:b/>
                <w:color w:val="auto"/>
                <w:sz w:val="21"/>
                <w:szCs w:val="21"/>
              </w:rPr>
            </w:pPr>
          </w:p>
          <w:p w14:paraId="55860876">
            <w:pPr>
              <w:pStyle w:val="37"/>
              <w:spacing w:before="215" w:line="360" w:lineRule="auto"/>
              <w:ind w:left="243" w:right="238"/>
              <w:jc w:val="center"/>
              <w:rPr>
                <w:rFonts w:hint="eastAsia"/>
                <w:b/>
                <w:color w:val="auto"/>
                <w:sz w:val="21"/>
                <w:szCs w:val="21"/>
                <w:lang w:eastAsia="en-US"/>
              </w:rPr>
            </w:pPr>
            <w:r>
              <w:rPr>
                <w:b/>
                <w:color w:val="auto"/>
                <w:sz w:val="21"/>
                <w:szCs w:val="21"/>
                <w:lang w:eastAsia="en-US"/>
              </w:rPr>
              <w:t>备注说明</w:t>
            </w:r>
          </w:p>
        </w:tc>
        <w:tc>
          <w:tcPr>
            <w:tcW w:w="6064" w:type="dxa"/>
          </w:tcPr>
          <w:p w14:paraId="54F00107">
            <w:pPr>
              <w:pStyle w:val="37"/>
              <w:spacing w:line="360" w:lineRule="auto"/>
              <w:rPr>
                <w:rFonts w:hint="eastAsia"/>
                <w:color w:val="auto"/>
                <w:sz w:val="21"/>
                <w:szCs w:val="21"/>
                <w:lang w:eastAsia="en-US"/>
              </w:rPr>
            </w:pPr>
          </w:p>
        </w:tc>
      </w:tr>
    </w:tbl>
    <w:p w14:paraId="53CBB2FF">
      <w:pPr>
        <w:pStyle w:val="12"/>
        <w:tabs>
          <w:tab w:val="left" w:pos="7181"/>
        </w:tabs>
        <w:spacing w:line="360" w:lineRule="auto"/>
        <w:ind w:right="1223" w:firstLine="3990" w:firstLineChars="1900"/>
        <w:rPr>
          <w:color w:val="auto"/>
          <w:sz w:val="21"/>
          <w:szCs w:val="21"/>
        </w:rPr>
      </w:pPr>
    </w:p>
    <w:p w14:paraId="2E6ED8FE">
      <w:pPr>
        <w:pStyle w:val="12"/>
        <w:tabs>
          <w:tab w:val="left" w:pos="7181"/>
        </w:tabs>
        <w:spacing w:line="360" w:lineRule="auto"/>
        <w:ind w:right="1223" w:firstLine="3990" w:firstLineChars="1900"/>
        <w:rPr>
          <w:rFonts w:hint="eastAsia"/>
          <w:color w:val="auto"/>
          <w:spacing w:val="-18"/>
          <w:sz w:val="21"/>
          <w:szCs w:val="21"/>
        </w:rPr>
      </w:pPr>
      <w:r>
        <w:rPr>
          <w:color w:val="auto"/>
          <w:sz w:val="21"/>
          <w:szCs w:val="21"/>
        </w:rPr>
        <w:t>供应商公章</w:t>
      </w:r>
      <w:r>
        <w:rPr>
          <w:color w:val="auto"/>
          <w:spacing w:val="-18"/>
          <w:sz w:val="21"/>
          <w:szCs w:val="21"/>
        </w:rPr>
        <w:t xml:space="preserve">： </w:t>
      </w:r>
      <w:r>
        <w:rPr>
          <w:rFonts w:hint="eastAsia"/>
          <w:color w:val="auto"/>
          <w:sz w:val="21"/>
          <w:szCs w:val="21"/>
          <w:u w:val="single"/>
        </w:rPr>
        <w:t xml:space="preserve">            </w:t>
      </w:r>
    </w:p>
    <w:p w14:paraId="68D0A4CA">
      <w:pPr>
        <w:pStyle w:val="12"/>
        <w:tabs>
          <w:tab w:val="left" w:pos="5841"/>
          <w:tab w:val="left" w:pos="8923"/>
        </w:tabs>
        <w:spacing w:before="79" w:line="360" w:lineRule="auto"/>
        <w:ind w:right="501"/>
        <w:jc w:val="right"/>
        <w:rPr>
          <w:rFonts w:hint="eastAsia"/>
          <w:color w:val="auto"/>
          <w:sz w:val="21"/>
          <w:szCs w:val="21"/>
        </w:rPr>
      </w:pPr>
      <w:r>
        <w:rPr>
          <w:rFonts w:hint="eastAsia"/>
          <w:color w:val="auto"/>
          <w:sz w:val="21"/>
          <w:szCs w:val="21"/>
        </w:rPr>
        <w:t>法定代表人或其委托代理人：</w:t>
      </w:r>
      <w:r>
        <w:rPr>
          <w:rFonts w:hint="eastAsia"/>
          <w:color w:val="auto"/>
          <w:sz w:val="21"/>
          <w:szCs w:val="21"/>
          <w:u w:val="single"/>
        </w:rPr>
        <w:t xml:space="preserve">  （签字或盖章）</w:t>
      </w:r>
    </w:p>
    <w:p w14:paraId="4C86D1D6">
      <w:pPr>
        <w:pStyle w:val="12"/>
        <w:tabs>
          <w:tab w:val="left" w:pos="6705"/>
        </w:tabs>
        <w:spacing w:line="360" w:lineRule="auto"/>
        <w:ind w:right="1223" w:firstLine="4620" w:firstLineChars="2200"/>
        <w:rPr>
          <w:rFonts w:hint="eastAsia"/>
          <w:color w:val="auto"/>
          <w:sz w:val="21"/>
          <w:szCs w:val="21"/>
          <w:u w:val="single"/>
        </w:rPr>
      </w:pPr>
      <w:r>
        <w:rPr>
          <w:color w:val="auto"/>
          <w:sz w:val="21"/>
          <w:szCs w:val="21"/>
        </w:rPr>
        <w:t>日</w:t>
      </w:r>
      <w:r>
        <w:rPr>
          <w:rFonts w:hint="eastAsia"/>
          <w:color w:val="auto"/>
          <w:sz w:val="21"/>
          <w:szCs w:val="21"/>
        </w:rPr>
        <w:t xml:space="preserve">    </w:t>
      </w:r>
      <w:r>
        <w:rPr>
          <w:color w:val="auto"/>
          <w:sz w:val="21"/>
          <w:szCs w:val="21"/>
        </w:rPr>
        <w:t>期</w:t>
      </w:r>
      <w:r>
        <w:rPr>
          <w:color w:val="auto"/>
          <w:spacing w:val="-18"/>
          <w:sz w:val="21"/>
          <w:szCs w:val="21"/>
        </w:rPr>
        <w:t>：</w:t>
      </w:r>
      <w:r>
        <w:rPr>
          <w:rFonts w:hint="eastAsia"/>
          <w:color w:val="auto"/>
          <w:sz w:val="21"/>
          <w:szCs w:val="21"/>
          <w:u w:val="single"/>
        </w:rPr>
        <w:t xml:space="preserve">        </w:t>
      </w:r>
    </w:p>
    <w:p w14:paraId="63D8EAFD">
      <w:pPr>
        <w:pStyle w:val="12"/>
        <w:tabs>
          <w:tab w:val="left" w:pos="6705"/>
        </w:tabs>
        <w:spacing w:line="360" w:lineRule="auto"/>
        <w:ind w:right="1223" w:firstLine="4620" w:firstLineChars="2200"/>
        <w:rPr>
          <w:rFonts w:hint="eastAsia"/>
          <w:color w:val="auto"/>
          <w:sz w:val="21"/>
          <w:szCs w:val="21"/>
          <w:u w:val="single"/>
        </w:rPr>
      </w:pPr>
    </w:p>
    <w:p w14:paraId="500F7C9D">
      <w:pPr>
        <w:autoSpaceDE w:val="0"/>
        <w:autoSpaceDN w:val="0"/>
        <w:spacing w:before="120" w:beforeLines="50" w:after="120" w:afterLines="50" w:line="360" w:lineRule="auto"/>
        <w:ind w:right="210" w:rightChars="100" w:firstLine="422" w:firstLineChars="200"/>
        <w:jc w:val="left"/>
        <w:rPr>
          <w:rFonts w:hint="eastAsia" w:ascii="宋体" w:hAnsi="宋体"/>
          <w:b/>
          <w:color w:val="auto"/>
        </w:rPr>
      </w:pPr>
      <w:r>
        <w:rPr>
          <w:rFonts w:hint="eastAsia" w:ascii="宋体" w:hAnsi="宋体" w:cs="宋体"/>
          <w:b/>
          <w:color w:val="auto"/>
          <w:kern w:val="0"/>
          <w:lang w:val="zh-CN" w:bidi="zh-CN"/>
        </w:rPr>
        <w:t>本表用于多轮报价，供应商多备几份手</w:t>
      </w:r>
      <w:r>
        <w:rPr>
          <w:rFonts w:hint="eastAsia" w:ascii="宋体" w:hAnsi="宋体" w:cs="宋体"/>
          <w:b/>
          <w:color w:val="auto"/>
          <w:kern w:val="0"/>
          <w:lang w:bidi="zh-CN"/>
        </w:rPr>
        <w:t>持。</w:t>
      </w:r>
      <w:r>
        <w:rPr>
          <w:rFonts w:ascii="宋体" w:hAnsi="宋体"/>
          <w:b/>
          <w:color w:val="auto"/>
        </w:rPr>
        <w:br w:type="page"/>
      </w:r>
    </w:p>
    <w:p w14:paraId="29A74EA7">
      <w:pPr>
        <w:pStyle w:val="32"/>
        <w:ind w:firstLine="600"/>
        <w:rPr>
          <w:color w:val="auto"/>
        </w:rPr>
      </w:pPr>
    </w:p>
    <w:p w14:paraId="4B676F22">
      <w:pPr>
        <w:jc w:val="center"/>
        <w:outlineLvl w:val="2"/>
        <w:rPr>
          <w:b/>
          <w:color w:val="auto"/>
          <w:sz w:val="28"/>
          <w:szCs w:val="28"/>
        </w:rPr>
      </w:pPr>
      <w:r>
        <w:rPr>
          <w:rFonts w:hint="eastAsia"/>
          <w:b/>
          <w:color w:val="auto"/>
          <w:sz w:val="28"/>
          <w:szCs w:val="28"/>
        </w:rPr>
        <w:t>三</w:t>
      </w:r>
      <w:r>
        <w:rPr>
          <w:b/>
          <w:color w:val="auto"/>
          <w:sz w:val="28"/>
          <w:szCs w:val="28"/>
        </w:rPr>
        <w:t>、磋商响应函</w:t>
      </w:r>
    </w:p>
    <w:p w14:paraId="3D819390">
      <w:pPr>
        <w:spacing w:before="240" w:beforeLines="100" w:after="240" w:afterLines="100" w:line="360" w:lineRule="auto"/>
        <w:rPr>
          <w:b/>
          <w:color w:val="auto"/>
        </w:rPr>
      </w:pPr>
      <w:r>
        <w:rPr>
          <w:b/>
          <w:color w:val="auto"/>
        </w:rPr>
        <w:t xml:space="preserve">致： </w:t>
      </w:r>
      <w:r>
        <w:rPr>
          <w:rFonts w:hint="eastAsia"/>
          <w:b/>
          <w:color w:val="auto"/>
        </w:rPr>
        <w:t>（采购人）</w:t>
      </w:r>
    </w:p>
    <w:p w14:paraId="2C82E7E8">
      <w:pPr>
        <w:pStyle w:val="12"/>
        <w:spacing w:before="2" w:line="360" w:lineRule="auto"/>
        <w:ind w:left="700"/>
        <w:rPr>
          <w:rFonts w:hint="eastAsia"/>
          <w:color w:val="auto"/>
          <w:sz w:val="21"/>
          <w:szCs w:val="21"/>
        </w:rPr>
      </w:pPr>
      <w:r>
        <w:rPr>
          <w:color w:val="auto"/>
          <w:sz w:val="21"/>
          <w:szCs w:val="21"/>
        </w:rPr>
        <w:t>根据贵方的竞争性磋商公告，我方兹宣布同意如下：</w:t>
      </w:r>
    </w:p>
    <w:p w14:paraId="2AE60A47">
      <w:pPr>
        <w:pStyle w:val="59"/>
        <w:numPr>
          <w:ilvl w:val="2"/>
          <w:numId w:val="12"/>
        </w:numPr>
        <w:tabs>
          <w:tab w:val="left" w:pos="942"/>
        </w:tabs>
        <w:spacing w:before="160" w:line="360" w:lineRule="auto"/>
        <w:ind w:right="357" w:firstLine="479"/>
        <w:rPr>
          <w:rFonts w:hint="eastAsia"/>
          <w:color w:val="auto"/>
          <w:sz w:val="21"/>
          <w:szCs w:val="21"/>
        </w:rPr>
      </w:pPr>
      <w:r>
        <w:rPr>
          <w:rFonts w:ascii="宋体" w:hAnsi="宋体" w:eastAsia="宋体" w:cs="宋体"/>
          <w:color w:val="auto"/>
          <w:kern w:val="0"/>
          <w:sz w:val="21"/>
          <w:szCs w:val="21"/>
          <w:lang w:val="zh-CN" w:eastAsia="zh-CN" w:bidi="zh-CN"/>
        </w:rPr>
        <w:t>如我公司成交，我公司承诺愿意按磋商文件规定缴纳履约保证金和成交服务费。按本次磋商文件规定及最后报价承诺供货及安装</w:t>
      </w:r>
      <w:r>
        <w:rPr>
          <w:color w:val="auto"/>
          <w:sz w:val="21"/>
          <w:szCs w:val="21"/>
        </w:rPr>
        <w:t>。</w:t>
      </w:r>
    </w:p>
    <w:p w14:paraId="7F390F57">
      <w:pPr>
        <w:pStyle w:val="59"/>
        <w:numPr>
          <w:ilvl w:val="2"/>
          <w:numId w:val="12"/>
        </w:numPr>
        <w:tabs>
          <w:tab w:val="left" w:pos="942"/>
        </w:tabs>
        <w:spacing w:before="1" w:line="360" w:lineRule="auto"/>
        <w:ind w:right="361" w:firstLine="479"/>
        <w:rPr>
          <w:rFonts w:hint="eastAsia"/>
          <w:color w:val="auto"/>
          <w:sz w:val="21"/>
          <w:szCs w:val="21"/>
        </w:rPr>
      </w:pPr>
      <w:r>
        <w:rPr>
          <w:color w:val="auto"/>
          <w:spacing w:val="-1"/>
          <w:sz w:val="21"/>
          <w:szCs w:val="21"/>
        </w:rPr>
        <w:t>我方根据本次磋商文件的规定，严格履行合同的责任和义务,并保证于买</w:t>
      </w:r>
      <w:r>
        <w:rPr>
          <w:color w:val="auto"/>
          <w:sz w:val="21"/>
          <w:szCs w:val="21"/>
        </w:rPr>
        <w:t>方要求的日期内完成服务，并通过买方验收。</w:t>
      </w:r>
    </w:p>
    <w:p w14:paraId="463512AE">
      <w:pPr>
        <w:pStyle w:val="59"/>
        <w:numPr>
          <w:ilvl w:val="2"/>
          <w:numId w:val="12"/>
        </w:numPr>
        <w:tabs>
          <w:tab w:val="left" w:pos="942"/>
        </w:tabs>
        <w:spacing w:before="2" w:line="360" w:lineRule="auto"/>
        <w:ind w:left="941" w:hanging="242"/>
        <w:rPr>
          <w:rFonts w:hint="eastAsia"/>
          <w:color w:val="auto"/>
          <w:sz w:val="21"/>
          <w:szCs w:val="21"/>
        </w:rPr>
      </w:pPr>
      <w:r>
        <w:rPr>
          <w:color w:val="auto"/>
          <w:sz w:val="21"/>
          <w:szCs w:val="21"/>
        </w:rPr>
        <w:t>我方承诺报价低于同类货物和服务的市场平均价格。</w:t>
      </w:r>
    </w:p>
    <w:p w14:paraId="5E08D2E4">
      <w:pPr>
        <w:pStyle w:val="59"/>
        <w:numPr>
          <w:ilvl w:val="2"/>
          <w:numId w:val="12"/>
        </w:numPr>
        <w:tabs>
          <w:tab w:val="left" w:pos="942"/>
        </w:tabs>
        <w:spacing w:before="161" w:line="360" w:lineRule="auto"/>
        <w:ind w:right="239" w:firstLine="479"/>
        <w:jc w:val="both"/>
        <w:rPr>
          <w:rFonts w:hint="eastAsia"/>
          <w:color w:val="auto"/>
          <w:sz w:val="21"/>
          <w:szCs w:val="21"/>
        </w:rPr>
      </w:pPr>
      <w:r>
        <w:rPr>
          <w:color w:val="auto"/>
          <w:spacing w:val="-6"/>
          <w:sz w:val="21"/>
          <w:szCs w:val="21"/>
        </w:rPr>
        <w:t>我方已详细审核本次磋商文件，包括磋商文件附件、参考资料、磋商文件</w:t>
      </w:r>
      <w:r>
        <w:rPr>
          <w:color w:val="auto"/>
          <w:spacing w:val="-4"/>
          <w:sz w:val="21"/>
          <w:szCs w:val="21"/>
        </w:rPr>
        <w:t>修改书或图纸</w:t>
      </w:r>
      <w:r>
        <w:rPr>
          <w:color w:val="auto"/>
          <w:spacing w:val="2"/>
          <w:sz w:val="21"/>
          <w:szCs w:val="21"/>
        </w:rPr>
        <w:t>（</w:t>
      </w:r>
      <w:r>
        <w:rPr>
          <w:color w:val="auto"/>
          <w:sz w:val="21"/>
          <w:szCs w:val="21"/>
        </w:rPr>
        <w:t>如有</w:t>
      </w:r>
      <w:r>
        <w:rPr>
          <w:color w:val="auto"/>
          <w:spacing w:val="-118"/>
          <w:sz w:val="21"/>
          <w:szCs w:val="21"/>
        </w:rPr>
        <w:t>）</w:t>
      </w:r>
      <w:r>
        <w:rPr>
          <w:color w:val="auto"/>
          <w:sz w:val="21"/>
          <w:szCs w:val="21"/>
        </w:rPr>
        <w:t>，我方正式认可并遵守本次磋商文件，并对磋商文件各项</w:t>
      </w:r>
      <w:r>
        <w:rPr>
          <w:color w:val="auto"/>
          <w:spacing w:val="-17"/>
          <w:sz w:val="21"/>
          <w:szCs w:val="21"/>
        </w:rPr>
        <w:t>条款、规定及要求均无异议。我方知道必须放弃提出含糊不清或误解问题的权利。</w:t>
      </w:r>
    </w:p>
    <w:p w14:paraId="4CD975CB">
      <w:pPr>
        <w:pStyle w:val="59"/>
        <w:numPr>
          <w:ilvl w:val="2"/>
          <w:numId w:val="12"/>
        </w:numPr>
        <w:tabs>
          <w:tab w:val="left" w:pos="942"/>
        </w:tabs>
        <w:spacing w:before="1" w:line="360" w:lineRule="auto"/>
        <w:ind w:right="357" w:firstLine="479"/>
        <w:rPr>
          <w:rFonts w:hint="eastAsia"/>
          <w:color w:val="auto"/>
          <w:sz w:val="21"/>
          <w:szCs w:val="21"/>
        </w:rPr>
      </w:pPr>
      <w:r>
        <w:rPr>
          <w:color w:val="auto"/>
          <w:spacing w:val="-5"/>
          <w:sz w:val="21"/>
          <w:szCs w:val="21"/>
        </w:rPr>
        <w:t>我方同意从供应商须知规定的磋商日期起遵循本磋商文件，并在供应商须</w:t>
      </w:r>
      <w:r>
        <w:rPr>
          <w:color w:val="auto"/>
          <w:sz w:val="21"/>
          <w:szCs w:val="21"/>
        </w:rPr>
        <w:t>知规定的磋商有效期之前均具有约束力。</w:t>
      </w:r>
    </w:p>
    <w:p w14:paraId="724E8ECD">
      <w:pPr>
        <w:pStyle w:val="59"/>
        <w:numPr>
          <w:ilvl w:val="2"/>
          <w:numId w:val="12"/>
        </w:numPr>
        <w:tabs>
          <w:tab w:val="left" w:pos="946"/>
        </w:tabs>
        <w:spacing w:before="2" w:line="360" w:lineRule="auto"/>
        <w:ind w:right="350" w:firstLine="479"/>
        <w:rPr>
          <w:rFonts w:hint="eastAsia"/>
          <w:color w:val="auto"/>
          <w:sz w:val="21"/>
          <w:szCs w:val="21"/>
        </w:rPr>
      </w:pPr>
      <w:r>
        <w:rPr>
          <w:color w:val="auto"/>
          <w:spacing w:val="4"/>
          <w:sz w:val="21"/>
          <w:szCs w:val="21"/>
        </w:rPr>
        <w:t>我方同意按贵方要求在磋商现场规定时间内向贵方提供与其磋商有关的</w:t>
      </w:r>
      <w:r>
        <w:rPr>
          <w:color w:val="auto"/>
          <w:sz w:val="21"/>
          <w:szCs w:val="21"/>
        </w:rPr>
        <w:t>任何证据或补充资料，否则，我方的响应文件可被贵方拒绝。</w:t>
      </w:r>
    </w:p>
    <w:p w14:paraId="6CE64638">
      <w:pPr>
        <w:pStyle w:val="59"/>
        <w:numPr>
          <w:ilvl w:val="2"/>
          <w:numId w:val="12"/>
        </w:numPr>
        <w:tabs>
          <w:tab w:val="left" w:pos="942"/>
        </w:tabs>
        <w:spacing w:before="1" w:line="360" w:lineRule="auto"/>
        <w:ind w:left="941" w:hanging="242"/>
        <w:rPr>
          <w:rFonts w:hint="eastAsia"/>
          <w:color w:val="auto"/>
          <w:sz w:val="21"/>
          <w:szCs w:val="21"/>
        </w:rPr>
      </w:pPr>
      <w:r>
        <w:rPr>
          <w:color w:val="auto"/>
          <w:sz w:val="21"/>
          <w:szCs w:val="21"/>
        </w:rPr>
        <w:t>我方完全理解贵方不一定接受最低报价的磋商。</w:t>
      </w:r>
    </w:p>
    <w:p w14:paraId="67B06E09">
      <w:pPr>
        <w:pStyle w:val="59"/>
        <w:numPr>
          <w:ilvl w:val="2"/>
          <w:numId w:val="12"/>
        </w:numPr>
        <w:tabs>
          <w:tab w:val="left" w:pos="942"/>
        </w:tabs>
        <w:spacing w:before="161" w:line="360" w:lineRule="auto"/>
        <w:ind w:left="941" w:hanging="242"/>
        <w:rPr>
          <w:rFonts w:hint="eastAsia"/>
          <w:color w:val="auto"/>
          <w:sz w:val="21"/>
          <w:szCs w:val="21"/>
        </w:rPr>
      </w:pPr>
      <w:r>
        <w:rPr>
          <w:color w:val="auto"/>
          <w:sz w:val="21"/>
          <w:szCs w:val="21"/>
        </w:rPr>
        <w:t>我方同意磋商文件规定的付款方式、服务期限。</w:t>
      </w:r>
    </w:p>
    <w:p w14:paraId="5A79BAC6">
      <w:pPr>
        <w:pStyle w:val="59"/>
        <w:numPr>
          <w:ilvl w:val="2"/>
          <w:numId w:val="12"/>
        </w:numPr>
        <w:tabs>
          <w:tab w:val="left" w:pos="1062"/>
        </w:tabs>
        <w:spacing w:before="161" w:line="360" w:lineRule="auto"/>
        <w:ind w:right="360" w:firstLine="479"/>
        <w:rPr>
          <w:rFonts w:hint="eastAsia"/>
          <w:color w:val="auto"/>
          <w:sz w:val="21"/>
          <w:szCs w:val="21"/>
        </w:rPr>
      </w:pPr>
      <w:r>
        <w:rPr>
          <w:color w:val="auto"/>
          <w:spacing w:val="-1"/>
          <w:sz w:val="21"/>
          <w:szCs w:val="21"/>
        </w:rPr>
        <w:t>我方对响应文件中所提供资料、文件、证书及证件的真实性和有效性负</w:t>
      </w:r>
      <w:r>
        <w:rPr>
          <w:color w:val="auto"/>
          <w:sz w:val="21"/>
          <w:szCs w:val="21"/>
        </w:rPr>
        <w:t>责。</w:t>
      </w:r>
    </w:p>
    <w:p w14:paraId="6C613634">
      <w:pPr>
        <w:pStyle w:val="59"/>
        <w:numPr>
          <w:ilvl w:val="2"/>
          <w:numId w:val="12"/>
        </w:numPr>
        <w:tabs>
          <w:tab w:val="left" w:pos="1062"/>
          <w:tab w:val="left" w:pos="4956"/>
          <w:tab w:val="left" w:pos="7116"/>
        </w:tabs>
        <w:spacing w:before="1" w:line="360" w:lineRule="auto"/>
        <w:ind w:left="697" w:firstLine="0"/>
        <w:rPr>
          <w:rFonts w:hint="eastAsia"/>
          <w:color w:val="auto"/>
          <w:sz w:val="21"/>
          <w:szCs w:val="21"/>
        </w:rPr>
      </w:pPr>
      <w:r>
        <w:rPr>
          <w:color w:val="auto"/>
          <w:sz w:val="21"/>
          <w:szCs w:val="21"/>
        </w:rPr>
        <w:t>与本磋商有关的通讯地址：</w:t>
      </w:r>
      <w:r>
        <w:rPr>
          <w:color w:val="auto"/>
          <w:sz w:val="21"/>
          <w:szCs w:val="21"/>
          <w:u w:val="single"/>
        </w:rPr>
        <w:t xml:space="preserve"> </w:t>
      </w:r>
      <w:r>
        <w:rPr>
          <w:color w:val="auto"/>
          <w:sz w:val="21"/>
          <w:szCs w:val="21"/>
          <w:u w:val="single"/>
        </w:rPr>
        <w:tab/>
      </w:r>
      <w:r>
        <w:rPr>
          <w:color w:val="auto"/>
          <w:sz w:val="21"/>
          <w:szCs w:val="21"/>
          <w:u w:val="single"/>
        </w:rPr>
        <w:tab/>
      </w:r>
      <w:r>
        <w:rPr>
          <w:color w:val="auto"/>
          <w:sz w:val="21"/>
          <w:szCs w:val="21"/>
        </w:rPr>
        <w:t xml:space="preserve"> </w:t>
      </w:r>
      <w:r>
        <w:rPr>
          <w:rFonts w:hint="eastAsia"/>
          <w:color w:val="auto"/>
          <w:sz w:val="21"/>
          <w:szCs w:val="21"/>
        </w:rPr>
        <w:t xml:space="preserve"> </w:t>
      </w:r>
    </w:p>
    <w:p w14:paraId="43AFB439">
      <w:pPr>
        <w:pStyle w:val="59"/>
        <w:tabs>
          <w:tab w:val="left" w:pos="1062"/>
          <w:tab w:val="left" w:pos="4956"/>
          <w:tab w:val="left" w:pos="7116"/>
        </w:tabs>
        <w:spacing w:before="1" w:line="360" w:lineRule="auto"/>
        <w:ind w:left="697" w:firstLine="0"/>
        <w:rPr>
          <w:rFonts w:hint="eastAsia"/>
          <w:color w:val="auto"/>
          <w:sz w:val="21"/>
          <w:szCs w:val="21"/>
        </w:rPr>
      </w:pPr>
      <w:r>
        <w:rPr>
          <w:rFonts w:hint="eastAsia"/>
          <w:color w:val="auto"/>
          <w:sz w:val="21"/>
          <w:szCs w:val="21"/>
        </w:rPr>
        <w:t xml:space="preserve">                </w:t>
      </w:r>
    </w:p>
    <w:p w14:paraId="041AAA21">
      <w:pPr>
        <w:pStyle w:val="59"/>
        <w:tabs>
          <w:tab w:val="left" w:pos="1062"/>
          <w:tab w:val="left" w:pos="8550"/>
        </w:tabs>
        <w:spacing w:before="1" w:line="360" w:lineRule="auto"/>
        <w:ind w:left="697" w:firstLine="0"/>
        <w:rPr>
          <w:rFonts w:hint="eastAsia"/>
          <w:color w:val="auto"/>
          <w:sz w:val="21"/>
          <w:szCs w:val="21"/>
        </w:rPr>
      </w:pPr>
      <w:r>
        <w:rPr>
          <w:rFonts w:hint="eastAsia"/>
          <w:color w:val="auto"/>
          <w:sz w:val="21"/>
          <w:szCs w:val="21"/>
        </w:rPr>
        <w:t xml:space="preserve">                                   </w:t>
      </w:r>
      <w:r>
        <w:rPr>
          <w:color w:val="auto"/>
          <w:sz w:val="21"/>
          <w:szCs w:val="21"/>
        </w:rPr>
        <w:t>供应商公章：</w:t>
      </w:r>
      <w:r>
        <w:rPr>
          <w:color w:val="auto"/>
          <w:sz w:val="21"/>
          <w:szCs w:val="21"/>
          <w:u w:val="single"/>
        </w:rPr>
        <w:t xml:space="preserve"> </w:t>
      </w:r>
      <w:r>
        <w:rPr>
          <w:color w:val="auto"/>
          <w:sz w:val="21"/>
          <w:szCs w:val="21"/>
          <w:u w:val="single"/>
        </w:rPr>
        <w:tab/>
      </w:r>
    </w:p>
    <w:p w14:paraId="497741D7">
      <w:pPr>
        <w:pStyle w:val="12"/>
        <w:tabs>
          <w:tab w:val="left" w:pos="5841"/>
          <w:tab w:val="left" w:pos="8923"/>
        </w:tabs>
        <w:spacing w:before="160" w:line="360" w:lineRule="auto"/>
        <w:ind w:left="703"/>
        <w:jc w:val="center"/>
        <w:rPr>
          <w:rFonts w:hint="eastAsia"/>
          <w:color w:val="auto"/>
          <w:sz w:val="21"/>
          <w:szCs w:val="21"/>
          <w:u w:val="single"/>
        </w:rPr>
      </w:pPr>
      <w:r>
        <w:rPr>
          <w:rFonts w:hint="eastAsia"/>
          <w:color w:val="auto"/>
          <w:sz w:val="21"/>
          <w:szCs w:val="21"/>
        </w:rPr>
        <w:t xml:space="preserve">                       法定代表人或其委托代理人：</w:t>
      </w:r>
      <w:r>
        <w:rPr>
          <w:rFonts w:hint="eastAsia"/>
          <w:color w:val="auto"/>
          <w:sz w:val="21"/>
          <w:szCs w:val="21"/>
          <w:u w:val="single"/>
        </w:rPr>
        <w:t xml:space="preserve">（签字或盖章） </w:t>
      </w:r>
    </w:p>
    <w:p w14:paraId="3469159F">
      <w:pPr>
        <w:pStyle w:val="12"/>
        <w:tabs>
          <w:tab w:val="left" w:pos="1420"/>
          <w:tab w:val="left" w:pos="4595"/>
        </w:tabs>
        <w:spacing w:before="1" w:line="360" w:lineRule="auto"/>
        <w:ind w:left="699" w:leftChars="333" w:firstLine="4200" w:firstLineChars="2000"/>
        <w:rPr>
          <w:rFonts w:hint="eastAsia"/>
          <w:color w:val="auto"/>
          <w:sz w:val="21"/>
          <w:szCs w:val="21"/>
        </w:rPr>
      </w:pPr>
      <w:r>
        <w:rPr>
          <w:color w:val="auto"/>
          <w:sz w:val="21"/>
          <w:szCs w:val="21"/>
        </w:rPr>
        <w:t>日</w:t>
      </w:r>
      <w:r>
        <w:rPr>
          <w:color w:val="auto"/>
          <w:sz w:val="21"/>
          <w:szCs w:val="21"/>
        </w:rPr>
        <w:tab/>
      </w:r>
      <w:r>
        <w:rPr>
          <w:rFonts w:hint="eastAsia"/>
          <w:color w:val="auto"/>
          <w:sz w:val="21"/>
          <w:szCs w:val="21"/>
        </w:rPr>
        <w:t xml:space="preserve">    </w:t>
      </w:r>
      <w:r>
        <w:rPr>
          <w:color w:val="auto"/>
          <w:sz w:val="21"/>
          <w:szCs w:val="21"/>
        </w:rPr>
        <w:t>期：</w:t>
      </w:r>
      <w:r>
        <w:rPr>
          <w:color w:val="auto"/>
          <w:sz w:val="21"/>
          <w:szCs w:val="21"/>
          <w:u w:val="single"/>
        </w:rPr>
        <w:t xml:space="preserve"> </w:t>
      </w:r>
      <w:r>
        <w:rPr>
          <w:rFonts w:hint="eastAsia"/>
          <w:color w:val="auto"/>
          <w:sz w:val="21"/>
          <w:szCs w:val="21"/>
          <w:u w:val="single"/>
        </w:rPr>
        <w:t xml:space="preserve">        </w:t>
      </w:r>
      <w:r>
        <w:rPr>
          <w:color w:val="auto"/>
          <w:sz w:val="21"/>
          <w:szCs w:val="21"/>
          <w:u w:val="single"/>
        </w:rPr>
        <w:tab/>
      </w:r>
    </w:p>
    <w:p w14:paraId="3C6D2807">
      <w:pPr>
        <w:spacing w:line="360" w:lineRule="auto"/>
        <w:rPr>
          <w:rFonts w:hint="eastAsia" w:ascii="宋体" w:hAnsi="宋体"/>
          <w:color w:val="auto"/>
        </w:rPr>
        <w:sectPr>
          <w:pgSz w:w="11911" w:h="16838"/>
          <w:pgMar w:top="1378" w:right="1440" w:bottom="1502" w:left="1582" w:header="879" w:footer="1304" w:gutter="0"/>
          <w:cols w:space="0" w:num="1"/>
        </w:sectPr>
      </w:pPr>
    </w:p>
    <w:p w14:paraId="283843BC">
      <w:pPr>
        <w:spacing w:line="360" w:lineRule="auto"/>
        <w:jc w:val="left"/>
        <w:rPr>
          <w:rFonts w:hint="eastAsia" w:ascii="宋体" w:hAnsi="宋体" w:cs="黑体"/>
          <w:color w:val="auto"/>
        </w:rPr>
      </w:pPr>
      <w:r>
        <w:rPr>
          <w:rFonts w:hint="eastAsia" w:ascii="宋体" w:hAnsi="宋体" w:cs="黑体"/>
          <w:b/>
          <w:color w:val="auto"/>
        </w:rPr>
        <w:t>附录1</w:t>
      </w:r>
      <w:r>
        <w:rPr>
          <w:rFonts w:hint="eastAsia" w:ascii="宋体" w:hAnsi="宋体" w:cs="黑体"/>
          <w:color w:val="auto"/>
        </w:rPr>
        <w:t>:</w:t>
      </w:r>
    </w:p>
    <w:p w14:paraId="31120302">
      <w:pPr>
        <w:spacing w:line="360" w:lineRule="auto"/>
        <w:jc w:val="left"/>
        <w:rPr>
          <w:rFonts w:hint="eastAsia" w:ascii="宋体" w:hAnsi="宋体" w:cs="黑体"/>
          <w:color w:val="auto"/>
        </w:rPr>
      </w:pPr>
    </w:p>
    <w:p w14:paraId="58BF8867">
      <w:pPr>
        <w:spacing w:line="360" w:lineRule="auto"/>
        <w:jc w:val="center"/>
        <w:rPr>
          <w:rFonts w:hint="eastAsia" w:ascii="宋体" w:hAnsi="宋体" w:cs="黑体"/>
          <w:color w:val="auto"/>
        </w:rPr>
      </w:pPr>
      <w:r>
        <w:rPr>
          <w:rFonts w:hint="eastAsia" w:ascii="宋体" w:hAnsi="宋体" w:cs="黑体"/>
          <w:color w:val="auto"/>
        </w:rPr>
        <w:t>供应商诚信承诺书</w:t>
      </w:r>
    </w:p>
    <w:p w14:paraId="0855A3D5">
      <w:pPr>
        <w:pStyle w:val="40"/>
        <w:widowControl w:val="0"/>
        <w:spacing w:line="360" w:lineRule="auto"/>
        <w:rPr>
          <w:rFonts w:hint="eastAsia" w:ascii="宋体" w:hAnsi="宋体"/>
          <w:bCs/>
          <w:color w:val="auto"/>
          <w:u w:val="single"/>
        </w:rPr>
      </w:pPr>
      <w:r>
        <w:rPr>
          <w:rFonts w:hint="eastAsia" w:ascii="宋体" w:hAnsi="宋体"/>
          <w:bCs/>
          <w:color w:val="auto"/>
        </w:rPr>
        <w:t>致：</w:t>
      </w:r>
      <w:r>
        <w:rPr>
          <w:rFonts w:hint="eastAsia" w:ascii="宋体" w:hAnsi="宋体"/>
          <w:bCs/>
          <w:color w:val="auto"/>
          <w:u w:val="single"/>
        </w:rPr>
        <w:t xml:space="preserve">  （采购人）</w:t>
      </w:r>
    </w:p>
    <w:p w14:paraId="5DE0B5EC">
      <w:pPr>
        <w:spacing w:line="360" w:lineRule="auto"/>
        <w:ind w:firstLine="420" w:firstLineChars="200"/>
        <w:rPr>
          <w:rFonts w:hint="eastAsia" w:ascii="宋体" w:hAnsi="宋体" w:cs="仿宋"/>
          <w:color w:val="auto"/>
        </w:rPr>
      </w:pPr>
      <w:r>
        <w:rPr>
          <w:rFonts w:hint="eastAsia" w:ascii="宋体" w:hAnsi="宋体" w:cs="仿宋"/>
          <w:color w:val="auto"/>
        </w:rPr>
        <w:t>我单位参加本次投标，承诺如下：</w:t>
      </w:r>
    </w:p>
    <w:p w14:paraId="6E4BDBF8">
      <w:pPr>
        <w:spacing w:line="360" w:lineRule="auto"/>
        <w:ind w:firstLine="420" w:firstLineChars="200"/>
        <w:rPr>
          <w:rFonts w:hint="eastAsia" w:ascii="宋体" w:hAnsi="宋体" w:cs="仿宋"/>
          <w:color w:val="auto"/>
        </w:rPr>
      </w:pPr>
      <w:r>
        <w:rPr>
          <w:rFonts w:hint="eastAsia" w:ascii="宋体" w:hAnsi="宋体" w:cs="仿宋"/>
          <w:color w:val="auto"/>
        </w:rPr>
        <w:t>1. 提供的所有资料都是真实有效。如被发现提供虚假资料或虚假承诺（声明），同意取消磋商和成交候选人资格。</w:t>
      </w:r>
    </w:p>
    <w:p w14:paraId="70446EA8">
      <w:pPr>
        <w:spacing w:line="360" w:lineRule="auto"/>
        <w:ind w:firstLine="420" w:firstLineChars="200"/>
        <w:rPr>
          <w:rFonts w:hint="eastAsia" w:ascii="宋体" w:hAnsi="宋体" w:cs="仿宋"/>
          <w:color w:val="auto"/>
        </w:rPr>
      </w:pPr>
      <w:r>
        <w:rPr>
          <w:rFonts w:hint="eastAsia" w:ascii="宋体" w:hAnsi="宋体" w:cs="仿宋"/>
          <w:color w:val="auto"/>
        </w:rPr>
        <w:t>2. 不存在借用资质、串通投标等情形。如被发现，同意取消磋商和成交候选人资格。</w:t>
      </w:r>
    </w:p>
    <w:p w14:paraId="4876526C">
      <w:pPr>
        <w:spacing w:line="360" w:lineRule="auto"/>
        <w:ind w:firstLine="420" w:firstLineChars="200"/>
        <w:rPr>
          <w:rFonts w:hint="eastAsia" w:ascii="宋体" w:hAnsi="宋体" w:cs="仿宋"/>
          <w:color w:val="auto"/>
        </w:rPr>
      </w:pPr>
      <w:r>
        <w:rPr>
          <w:rFonts w:hint="eastAsia" w:ascii="宋体" w:hAnsi="宋体" w:cs="仿宋"/>
          <w:color w:val="auto"/>
        </w:rPr>
        <w:t>3．如我方为成交候选人，除不可抗力（是指不能预见、不能避免并不能克服的客观情况，包括自然灾害和社会突发事件，如地震、海啸、瘟疫、水灾、骚乱、暴动、战争等），不因任何其它原因放弃成交候选人资格。</w:t>
      </w:r>
    </w:p>
    <w:p w14:paraId="51721E6A">
      <w:pPr>
        <w:spacing w:line="360" w:lineRule="auto"/>
        <w:ind w:firstLine="420" w:firstLineChars="200"/>
        <w:rPr>
          <w:rFonts w:hint="eastAsia" w:ascii="宋体" w:hAnsi="宋体" w:cs="仿宋"/>
          <w:color w:val="auto"/>
        </w:rPr>
      </w:pPr>
      <w:r>
        <w:rPr>
          <w:rFonts w:hint="eastAsia" w:ascii="宋体" w:hAnsi="宋体" w:cs="仿宋"/>
          <w:color w:val="auto"/>
        </w:rPr>
        <w:t>4、我方成交后，严格按照采购文件和我单位响应文件的约定签订合同。</w:t>
      </w:r>
    </w:p>
    <w:p w14:paraId="31B45A2A">
      <w:pPr>
        <w:spacing w:line="360" w:lineRule="auto"/>
        <w:ind w:firstLine="420" w:firstLineChars="200"/>
        <w:rPr>
          <w:rFonts w:hint="eastAsia" w:ascii="宋体" w:hAnsi="宋体" w:cs="仿宋"/>
          <w:color w:val="auto"/>
        </w:rPr>
      </w:pPr>
      <w:r>
        <w:rPr>
          <w:rFonts w:hint="eastAsia" w:ascii="宋体" w:hAnsi="宋体" w:cs="仿宋"/>
          <w:color w:val="auto"/>
        </w:rPr>
        <w:t>5、我方同意将达不到供应商资格要求条件仍参与磋商或被行政主管部门、监督管理部门等暂停、取消公共资源交易资格且在限制期内仍参与磋商的情形视为弄虚作假，愿意接受处理。</w:t>
      </w:r>
    </w:p>
    <w:p w14:paraId="3EB5ABB0">
      <w:pPr>
        <w:spacing w:line="360" w:lineRule="auto"/>
        <w:ind w:firstLine="420" w:firstLineChars="200"/>
        <w:rPr>
          <w:rFonts w:hint="eastAsia" w:ascii="宋体" w:hAnsi="宋体" w:cs="仿宋"/>
          <w:color w:val="auto"/>
        </w:rPr>
      </w:pPr>
      <w:r>
        <w:rPr>
          <w:rFonts w:hint="eastAsia" w:ascii="宋体" w:hAnsi="宋体" w:cs="仿宋"/>
          <w:color w:val="auto"/>
        </w:rPr>
        <w:t>6、我方参与磋商如出现报价高于或等于该项目最高限价的情形，同意视为串通投标并接受处理。</w:t>
      </w:r>
    </w:p>
    <w:p w14:paraId="5AB39F82">
      <w:pPr>
        <w:spacing w:line="360" w:lineRule="auto"/>
        <w:ind w:firstLine="420" w:firstLineChars="200"/>
        <w:rPr>
          <w:rFonts w:hint="eastAsia" w:ascii="宋体" w:hAnsi="宋体" w:cs="华文仿宋"/>
          <w:color w:val="auto"/>
          <w:kern w:val="0"/>
        </w:rPr>
      </w:pPr>
      <w:r>
        <w:rPr>
          <w:rFonts w:hint="eastAsia" w:ascii="宋体" w:hAnsi="宋体" w:cs="华文仿宋"/>
          <w:color w:val="auto"/>
          <w:kern w:val="0"/>
        </w:rPr>
        <w:t>出现违反上述承诺情形之一的，我单位愿意公开披露我单位违反承诺的不良行为信息，愿意接受处罚并承担所有经济损失和法律责任。</w:t>
      </w:r>
    </w:p>
    <w:p w14:paraId="3EC0FCA3">
      <w:pPr>
        <w:spacing w:line="360" w:lineRule="auto"/>
        <w:ind w:firstLine="420" w:firstLineChars="200"/>
        <w:rPr>
          <w:rFonts w:hint="eastAsia" w:ascii="宋体" w:hAnsi="宋体"/>
          <w:color w:val="auto"/>
        </w:rPr>
      </w:pPr>
      <w:r>
        <w:rPr>
          <w:rFonts w:hint="eastAsia" w:ascii="宋体" w:hAnsi="宋体"/>
          <w:color w:val="auto"/>
        </w:rPr>
        <w:t xml:space="preserve">后期履约过程中除不可抗力外如我单位放弃（拒绝）履约，同意采购人（甲方）不予退还履约保证金，我单位（乙方）不要求退还履约保证金。 </w:t>
      </w:r>
    </w:p>
    <w:p w14:paraId="5E8F4361">
      <w:pPr>
        <w:spacing w:line="360" w:lineRule="auto"/>
        <w:ind w:firstLine="522" w:firstLineChars="249"/>
        <w:rPr>
          <w:rFonts w:hint="eastAsia" w:ascii="宋体" w:hAnsi="宋体"/>
          <w:color w:val="auto"/>
        </w:rPr>
      </w:pPr>
      <w:r>
        <w:rPr>
          <w:rFonts w:hint="eastAsia" w:ascii="宋体" w:hAnsi="宋体"/>
          <w:color w:val="auto"/>
        </w:rPr>
        <w:t>此承诺不受投标有效期的限制。</w:t>
      </w:r>
    </w:p>
    <w:p w14:paraId="014CF18B">
      <w:pPr>
        <w:spacing w:line="360" w:lineRule="auto"/>
        <w:ind w:firstLine="420" w:firstLineChars="200"/>
        <w:rPr>
          <w:rFonts w:hint="eastAsia" w:ascii="宋体" w:hAnsi="宋体" w:cs="华文仿宋"/>
          <w:color w:val="auto"/>
          <w:kern w:val="0"/>
        </w:rPr>
      </w:pPr>
    </w:p>
    <w:p w14:paraId="23215934">
      <w:pPr>
        <w:pStyle w:val="40"/>
        <w:widowControl w:val="0"/>
        <w:spacing w:line="360" w:lineRule="auto"/>
        <w:ind w:firstLine="420"/>
        <w:rPr>
          <w:rFonts w:hint="eastAsia" w:ascii="宋体" w:hAnsi="宋体" w:cs="宋体"/>
          <w:color w:val="auto"/>
          <w:u w:val="single"/>
        </w:rPr>
      </w:pPr>
      <w:r>
        <w:rPr>
          <w:rFonts w:hint="eastAsia" w:ascii="宋体" w:hAnsi="宋体" w:cs="宋体"/>
          <w:color w:val="auto"/>
        </w:rPr>
        <w:t xml:space="preserve">                      </w:t>
      </w:r>
      <w:r>
        <w:rPr>
          <w:rFonts w:hint="eastAsia" w:ascii="宋体" w:hAnsi="宋体"/>
          <w:color w:val="auto"/>
        </w:rPr>
        <w:t>供应商</w:t>
      </w:r>
      <w:r>
        <w:rPr>
          <w:rFonts w:ascii="宋体" w:hAnsi="宋体"/>
          <w:color w:val="auto"/>
        </w:rPr>
        <w:t>公章</w:t>
      </w:r>
      <w:r>
        <w:rPr>
          <w:rFonts w:hint="eastAsia" w:ascii="宋体" w:hAnsi="宋体" w:cs="宋体"/>
          <w:color w:val="auto"/>
        </w:rPr>
        <w:t>：</w:t>
      </w:r>
      <w:r>
        <w:rPr>
          <w:rFonts w:hint="eastAsia" w:ascii="宋体" w:hAnsi="宋体" w:cs="宋体"/>
          <w:color w:val="auto"/>
          <w:u w:val="single"/>
        </w:rPr>
        <w:t xml:space="preserve">                       </w:t>
      </w:r>
    </w:p>
    <w:p w14:paraId="55E55857">
      <w:pPr>
        <w:pStyle w:val="40"/>
        <w:widowControl w:val="0"/>
        <w:spacing w:line="360" w:lineRule="auto"/>
        <w:ind w:firstLine="2362" w:firstLineChars="1125"/>
        <w:rPr>
          <w:rFonts w:hint="eastAsia" w:ascii="宋体" w:hAnsi="宋体"/>
          <w:color w:val="auto"/>
        </w:rPr>
      </w:pPr>
      <w:r>
        <w:rPr>
          <w:rFonts w:hint="eastAsia" w:ascii="宋体" w:hAnsi="宋体"/>
          <w:color w:val="auto"/>
        </w:rPr>
        <w:t>法定代表人或其委托代理人：</w:t>
      </w:r>
      <w:r>
        <w:rPr>
          <w:rFonts w:hint="eastAsia" w:ascii="宋体" w:hAnsi="宋体"/>
          <w:color w:val="auto"/>
          <w:u w:val="single"/>
        </w:rPr>
        <w:t>（签字或盖章）</w:t>
      </w:r>
    </w:p>
    <w:p w14:paraId="1E55736F">
      <w:pPr>
        <w:pStyle w:val="40"/>
        <w:widowControl w:val="0"/>
        <w:spacing w:line="360" w:lineRule="auto"/>
        <w:ind w:firstLine="420"/>
        <w:jc w:val="center"/>
        <w:rPr>
          <w:rFonts w:hint="eastAsia" w:ascii="宋体" w:hAnsi="宋体" w:cs="宋体"/>
          <w:color w:val="auto"/>
        </w:rPr>
      </w:pPr>
      <w:r>
        <w:rPr>
          <w:rFonts w:hint="eastAsia" w:ascii="宋体" w:hAnsi="宋体" w:cs="宋体"/>
          <w:color w:val="auto"/>
        </w:rPr>
        <w:t xml:space="preserve">                                               年   月    日</w:t>
      </w:r>
    </w:p>
    <w:p w14:paraId="033F7DFE">
      <w:pPr>
        <w:widowControl/>
        <w:jc w:val="center"/>
        <w:rPr>
          <w:rFonts w:hint="eastAsia" w:ascii="宋体" w:hAnsi="宋体"/>
          <w:b/>
          <w:bCs/>
          <w:color w:val="auto"/>
        </w:rPr>
      </w:pPr>
      <w:r>
        <w:rPr>
          <w:rFonts w:ascii="宋体" w:hAnsi="宋体" w:cs="宋体"/>
          <w:color w:val="auto"/>
        </w:rPr>
        <w:br w:type="page"/>
      </w:r>
    </w:p>
    <w:p w14:paraId="108EE1D5">
      <w:pPr>
        <w:jc w:val="center"/>
        <w:outlineLvl w:val="2"/>
        <w:rPr>
          <w:b/>
          <w:color w:val="auto"/>
          <w:sz w:val="28"/>
          <w:szCs w:val="28"/>
        </w:rPr>
      </w:pPr>
      <w:r>
        <w:rPr>
          <w:rFonts w:hint="eastAsia"/>
          <w:b/>
          <w:color w:val="auto"/>
          <w:sz w:val="28"/>
          <w:szCs w:val="28"/>
        </w:rPr>
        <w:t>四、授权书</w:t>
      </w:r>
    </w:p>
    <w:p w14:paraId="074F798F">
      <w:pPr>
        <w:pStyle w:val="12"/>
        <w:spacing w:line="360" w:lineRule="auto"/>
        <w:rPr>
          <w:rFonts w:hint="eastAsia"/>
          <w:b/>
          <w:color w:val="auto"/>
          <w:sz w:val="21"/>
          <w:szCs w:val="21"/>
        </w:rPr>
      </w:pPr>
    </w:p>
    <w:p w14:paraId="7A2D3F36">
      <w:pPr>
        <w:pStyle w:val="12"/>
        <w:spacing w:before="11" w:line="360" w:lineRule="auto"/>
        <w:rPr>
          <w:rFonts w:hint="eastAsia"/>
          <w:b/>
          <w:color w:val="auto"/>
          <w:sz w:val="21"/>
          <w:szCs w:val="21"/>
        </w:rPr>
      </w:pPr>
    </w:p>
    <w:p w14:paraId="73DA731E">
      <w:pPr>
        <w:pStyle w:val="12"/>
        <w:spacing w:line="360" w:lineRule="auto"/>
        <w:rPr>
          <w:rFonts w:hint="eastAsia"/>
          <w:b/>
          <w:color w:val="auto"/>
          <w:sz w:val="21"/>
          <w:szCs w:val="21"/>
          <w:lang w:val="en-US"/>
        </w:rPr>
      </w:pPr>
    </w:p>
    <w:p w14:paraId="1DD82BBC">
      <w:pPr>
        <w:spacing w:line="360" w:lineRule="auto"/>
        <w:ind w:firstLine="645"/>
        <w:rPr>
          <w:rFonts w:hint="eastAsia" w:ascii="宋体" w:hAnsi="宋体"/>
          <w:color w:val="auto"/>
        </w:rPr>
      </w:pPr>
      <w:r>
        <w:rPr>
          <w:rFonts w:hint="eastAsia" w:ascii="宋体" w:hAnsi="宋体"/>
          <w:color w:val="auto"/>
        </w:rPr>
        <w:t>本授权书声明：</w:t>
      </w:r>
      <w:r>
        <w:rPr>
          <w:rFonts w:hint="eastAsia" w:ascii="宋体" w:hAnsi="宋体"/>
          <w:color w:val="auto"/>
          <w:u w:val="single"/>
        </w:rPr>
        <w:t xml:space="preserve">           </w:t>
      </w:r>
      <w:r>
        <w:rPr>
          <w:rFonts w:hint="eastAsia" w:ascii="宋体" w:hAnsi="宋体"/>
          <w:color w:val="auto"/>
        </w:rPr>
        <w:t>公司（工厂）（纳税人识别号：</w:t>
      </w:r>
      <w:r>
        <w:rPr>
          <w:rFonts w:hint="eastAsia" w:ascii="宋体" w:hAnsi="宋体"/>
          <w:color w:val="auto"/>
          <w:u w:val="single"/>
        </w:rPr>
        <w:t xml:space="preserve">   </w:t>
      </w:r>
      <w:r>
        <w:rPr>
          <w:rFonts w:hint="eastAsia" w:ascii="宋体" w:hAnsi="宋体"/>
          <w:color w:val="auto"/>
        </w:rPr>
        <w:t>）的</w:t>
      </w:r>
      <w:r>
        <w:rPr>
          <w:rFonts w:hint="eastAsia" w:ascii="宋体" w:hAnsi="宋体"/>
          <w:color w:val="auto"/>
          <w:u w:val="single"/>
        </w:rPr>
        <w:t xml:space="preserve">       </w:t>
      </w:r>
      <w:r>
        <w:rPr>
          <w:rFonts w:hint="eastAsia" w:ascii="宋体" w:hAnsi="宋体"/>
          <w:color w:val="auto"/>
        </w:rPr>
        <w:t>（法人代表姓名、职务）代表本公司（工厂）授权本公司（工厂）</w:t>
      </w:r>
      <w:r>
        <w:rPr>
          <w:rFonts w:hint="eastAsia" w:ascii="宋体" w:hAnsi="宋体"/>
          <w:color w:val="auto"/>
          <w:u w:val="single"/>
        </w:rPr>
        <w:t xml:space="preserve">        </w:t>
      </w:r>
      <w:r>
        <w:rPr>
          <w:rFonts w:hint="eastAsia" w:ascii="宋体" w:hAnsi="宋体"/>
          <w:color w:val="auto"/>
        </w:rPr>
        <w:t>（被授权人的姓名、职务）为本公司（工厂）的合法代理人，参加</w:t>
      </w:r>
      <w:r>
        <w:rPr>
          <w:rFonts w:hint="eastAsia" w:ascii="宋体" w:hAnsi="宋体"/>
          <w:color w:val="auto"/>
          <w:u w:val="single"/>
        </w:rPr>
        <w:t xml:space="preserve">                     </w:t>
      </w:r>
      <w:r>
        <w:rPr>
          <w:rFonts w:hint="eastAsia" w:ascii="宋体" w:hAnsi="宋体"/>
          <w:color w:val="auto"/>
        </w:rPr>
        <w:t>采购项目活动，全权代表本公司处理磋商过程的一切事宜，包括但不限于：磋商、签约等。供应商代表在磋商过程中所签署的一切文件和处理与之有关的一切事务，本公司均予以认可并对此承担责任。被授权人无转委托权。特此授权。</w:t>
      </w:r>
    </w:p>
    <w:p w14:paraId="19EBE577">
      <w:pPr>
        <w:spacing w:line="360" w:lineRule="auto"/>
        <w:ind w:firstLine="645"/>
        <w:rPr>
          <w:rFonts w:hint="eastAsia" w:ascii="宋体" w:hAnsi="宋体"/>
          <w:color w:val="auto"/>
        </w:rPr>
      </w:pPr>
      <w:r>
        <w:rPr>
          <w:rFonts w:hint="eastAsia" w:ascii="宋体" w:hAnsi="宋体"/>
          <w:color w:val="auto"/>
        </w:rPr>
        <w:t>本授权书自出具之日起生效。</w:t>
      </w:r>
    </w:p>
    <w:p w14:paraId="1BE3181E">
      <w:pPr>
        <w:spacing w:line="360" w:lineRule="auto"/>
        <w:ind w:firstLine="645"/>
        <w:rPr>
          <w:rFonts w:hint="eastAsia" w:ascii="宋体" w:hAnsi="宋体"/>
          <w:color w:val="auto"/>
        </w:rPr>
      </w:pPr>
      <w:r>
        <w:rPr>
          <w:rFonts w:hint="eastAsia" w:ascii="宋体" w:hAnsi="宋体"/>
          <w:color w:val="auto"/>
        </w:rPr>
        <w:t>特此声明。</w:t>
      </w:r>
    </w:p>
    <w:p w14:paraId="33E6EDCA">
      <w:pPr>
        <w:spacing w:line="360" w:lineRule="auto"/>
        <w:ind w:firstLine="645"/>
        <w:rPr>
          <w:rFonts w:hint="eastAsia" w:ascii="宋体" w:hAnsi="宋体"/>
          <w:color w:val="auto"/>
        </w:rPr>
      </w:pPr>
    </w:p>
    <w:p w14:paraId="08B0B3C1">
      <w:pPr>
        <w:spacing w:line="360" w:lineRule="auto"/>
        <w:ind w:firstLine="645"/>
        <w:rPr>
          <w:rFonts w:hint="eastAsia" w:ascii="宋体" w:hAnsi="宋体"/>
          <w:color w:val="auto"/>
        </w:rPr>
      </w:pPr>
      <w:r>
        <w:rPr>
          <w:rFonts w:hint="eastAsia" w:ascii="宋体" w:hAnsi="宋体"/>
          <w:color w:val="auto"/>
        </w:rPr>
        <w:t>法定代表人联系方式：</w:t>
      </w:r>
      <w:r>
        <w:rPr>
          <w:rFonts w:hint="eastAsia" w:ascii="宋体" w:hAnsi="宋体"/>
          <w:color w:val="auto"/>
          <w:u w:val="single"/>
        </w:rPr>
        <w:t xml:space="preserve">（手机号码）       </w:t>
      </w:r>
    </w:p>
    <w:p w14:paraId="73EEB752">
      <w:pPr>
        <w:spacing w:line="360" w:lineRule="auto"/>
        <w:ind w:firstLine="645"/>
        <w:rPr>
          <w:rFonts w:hint="eastAsia" w:ascii="宋体" w:hAnsi="宋体"/>
          <w:color w:val="auto"/>
        </w:rPr>
      </w:pPr>
      <w:r>
        <w:rPr>
          <w:rFonts w:hint="eastAsia" w:ascii="宋体" w:hAnsi="宋体"/>
          <w:color w:val="auto"/>
        </w:rPr>
        <w:t>授权委托人联系方式：</w:t>
      </w:r>
      <w:r>
        <w:rPr>
          <w:rFonts w:hint="eastAsia" w:ascii="宋体" w:hAnsi="宋体"/>
          <w:color w:val="auto"/>
          <w:u w:val="single"/>
        </w:rPr>
        <w:t xml:space="preserve">（手机号码）       </w:t>
      </w:r>
    </w:p>
    <w:p w14:paraId="0B280038">
      <w:pPr>
        <w:spacing w:line="360" w:lineRule="auto"/>
        <w:ind w:firstLine="645"/>
        <w:rPr>
          <w:rFonts w:hint="eastAsia" w:ascii="宋体" w:hAnsi="宋体"/>
          <w:color w:val="auto"/>
        </w:rPr>
      </w:pPr>
    </w:p>
    <w:p w14:paraId="48BF8733">
      <w:pPr>
        <w:spacing w:line="360" w:lineRule="auto"/>
        <w:ind w:firstLine="645"/>
        <w:rPr>
          <w:rFonts w:hint="eastAsia" w:ascii="宋体" w:hAnsi="宋体"/>
          <w:color w:val="auto"/>
          <w:u w:val="single"/>
        </w:rPr>
      </w:pPr>
      <w:r>
        <w:rPr>
          <w:rFonts w:hint="eastAsia" w:ascii="宋体" w:hAnsi="宋体"/>
          <w:color w:val="auto"/>
        </w:rPr>
        <w:t>法人代表签字或盖章：</w:t>
      </w:r>
      <w:r>
        <w:rPr>
          <w:rFonts w:hint="eastAsia" w:ascii="宋体" w:hAnsi="宋体"/>
          <w:color w:val="auto"/>
          <w:u w:val="single"/>
        </w:rPr>
        <w:t xml:space="preserve">                    </w:t>
      </w:r>
    </w:p>
    <w:p w14:paraId="77096858">
      <w:pPr>
        <w:spacing w:line="360" w:lineRule="auto"/>
        <w:ind w:firstLine="645"/>
        <w:rPr>
          <w:rFonts w:hint="eastAsia" w:ascii="宋体" w:hAnsi="宋体"/>
          <w:color w:val="auto"/>
        </w:rPr>
      </w:pPr>
      <w:r>
        <w:rPr>
          <w:rFonts w:hint="eastAsia" w:ascii="宋体" w:hAnsi="宋体"/>
          <w:color w:val="auto"/>
        </w:rPr>
        <w:t>代理人（被授权人）签字或盖章：</w:t>
      </w:r>
      <w:r>
        <w:rPr>
          <w:rFonts w:hint="eastAsia" w:ascii="宋体" w:hAnsi="宋体"/>
          <w:color w:val="auto"/>
          <w:u w:val="single"/>
        </w:rPr>
        <w:t xml:space="preserve">              </w:t>
      </w:r>
    </w:p>
    <w:p w14:paraId="0A92DA0E">
      <w:pPr>
        <w:spacing w:line="360" w:lineRule="auto"/>
        <w:ind w:firstLine="645"/>
        <w:rPr>
          <w:rFonts w:hint="eastAsia" w:ascii="宋体" w:hAnsi="宋体"/>
          <w:color w:val="auto"/>
        </w:rPr>
      </w:pPr>
      <w:r>
        <w:rPr>
          <w:rFonts w:hint="eastAsia" w:ascii="宋体" w:hAnsi="宋体"/>
          <w:color w:val="auto"/>
        </w:rPr>
        <w:t>供应商公章：</w:t>
      </w:r>
      <w:r>
        <w:rPr>
          <w:rFonts w:hint="eastAsia" w:ascii="宋体" w:hAnsi="宋体"/>
          <w:color w:val="auto"/>
          <w:u w:val="single"/>
        </w:rPr>
        <w:t xml:space="preserve">                       </w:t>
      </w:r>
    </w:p>
    <w:p w14:paraId="6D3866B3">
      <w:pPr>
        <w:spacing w:line="360" w:lineRule="auto"/>
        <w:ind w:firstLine="645"/>
        <w:rPr>
          <w:rFonts w:hint="eastAsia" w:ascii="宋体" w:hAnsi="宋体"/>
          <w:color w:val="auto"/>
        </w:rPr>
      </w:pPr>
      <w:r>
        <w:rPr>
          <w:rFonts w:hint="eastAsia" w:ascii="宋体" w:hAnsi="宋体"/>
          <w:color w:val="auto"/>
        </w:rPr>
        <w:t>授权委托日期：</w:t>
      </w:r>
      <w:r>
        <w:rPr>
          <w:rFonts w:hint="eastAsia" w:ascii="宋体" w:hAnsi="宋体"/>
          <w:color w:val="auto"/>
          <w:u w:val="single"/>
        </w:rPr>
        <w:t xml:space="preserve">                 </w:t>
      </w:r>
    </w:p>
    <w:p w14:paraId="6F9A1D44">
      <w:pPr>
        <w:spacing w:line="360" w:lineRule="auto"/>
        <w:rPr>
          <w:rFonts w:hint="eastAsia" w:ascii="宋体" w:hAnsi="宋体" w:cs="Arial"/>
          <w:b/>
          <w:color w:val="auto"/>
        </w:rPr>
      </w:pPr>
    </w:p>
    <w:p w14:paraId="65B23869">
      <w:pPr>
        <w:pStyle w:val="12"/>
        <w:spacing w:before="66" w:line="360" w:lineRule="auto"/>
        <w:rPr>
          <w:rFonts w:hint="eastAsia"/>
          <w:color w:val="auto"/>
          <w:sz w:val="21"/>
          <w:szCs w:val="21"/>
        </w:rPr>
      </w:pPr>
      <w:r>
        <w:rPr>
          <w:color w:val="auto"/>
          <w:sz w:val="21"/>
          <w:szCs w:val="21"/>
        </w:rPr>
        <w:t>注：</w:t>
      </w:r>
    </w:p>
    <w:p w14:paraId="28BFFA87">
      <w:pPr>
        <w:pStyle w:val="59"/>
        <w:tabs>
          <w:tab w:val="left" w:pos="896"/>
        </w:tabs>
        <w:spacing w:before="161" w:line="360" w:lineRule="auto"/>
        <w:ind w:left="220" w:firstLine="0"/>
        <w:rPr>
          <w:rFonts w:hint="eastAsia"/>
          <w:color w:val="auto"/>
          <w:sz w:val="21"/>
          <w:szCs w:val="21"/>
        </w:rPr>
      </w:pPr>
      <w:r>
        <w:rPr>
          <w:rFonts w:hint="eastAsia"/>
          <w:color w:val="auto"/>
          <w:sz w:val="21"/>
          <w:szCs w:val="21"/>
          <w:lang w:val="en-US"/>
        </w:rPr>
        <w:t>1、</w:t>
      </w:r>
      <w:r>
        <w:rPr>
          <w:color w:val="auto"/>
          <w:sz w:val="21"/>
          <w:szCs w:val="21"/>
        </w:rPr>
        <w:t>本项目只允许有唯一的</w:t>
      </w:r>
      <w:r>
        <w:rPr>
          <w:rFonts w:hint="eastAsia"/>
          <w:color w:val="auto"/>
          <w:sz w:val="21"/>
          <w:szCs w:val="21"/>
        </w:rPr>
        <w:t>供应商</w:t>
      </w:r>
      <w:r>
        <w:rPr>
          <w:color w:val="auto"/>
          <w:sz w:val="21"/>
          <w:szCs w:val="21"/>
        </w:rPr>
        <w:t>授权代表，提供</w:t>
      </w:r>
      <w:r>
        <w:rPr>
          <w:rFonts w:hint="eastAsia"/>
          <w:color w:val="auto"/>
          <w:sz w:val="21"/>
          <w:szCs w:val="21"/>
          <w:lang w:val="en-US"/>
        </w:rPr>
        <w:t>法人及被授权人</w:t>
      </w:r>
      <w:r>
        <w:rPr>
          <w:color w:val="auto"/>
          <w:sz w:val="21"/>
          <w:szCs w:val="21"/>
        </w:rPr>
        <w:t>身份证明扫描件；</w:t>
      </w:r>
    </w:p>
    <w:p w14:paraId="77374FFC">
      <w:pPr>
        <w:pStyle w:val="59"/>
        <w:tabs>
          <w:tab w:val="left" w:pos="462"/>
        </w:tabs>
        <w:spacing w:line="360" w:lineRule="auto"/>
        <w:ind w:left="220" w:firstLine="0"/>
        <w:rPr>
          <w:rFonts w:hint="eastAsia"/>
          <w:color w:val="auto"/>
          <w:sz w:val="21"/>
          <w:szCs w:val="21"/>
        </w:rPr>
      </w:pPr>
      <w:r>
        <w:rPr>
          <w:rFonts w:hint="eastAsia"/>
          <w:color w:val="auto"/>
          <w:sz w:val="21"/>
          <w:szCs w:val="21"/>
          <w:lang w:val="en-US"/>
        </w:rPr>
        <w:t>2、</w:t>
      </w:r>
      <w:r>
        <w:rPr>
          <w:color w:val="auto"/>
          <w:sz w:val="21"/>
          <w:szCs w:val="21"/>
        </w:rPr>
        <w:t>法定代表人参加</w:t>
      </w:r>
      <w:r>
        <w:rPr>
          <w:rFonts w:hint="eastAsia"/>
          <w:color w:val="auto"/>
          <w:sz w:val="21"/>
          <w:szCs w:val="21"/>
        </w:rPr>
        <w:t>磋商</w:t>
      </w:r>
      <w:r>
        <w:rPr>
          <w:color w:val="auto"/>
          <w:sz w:val="21"/>
          <w:szCs w:val="21"/>
        </w:rPr>
        <w:t>的无需提供授权书，提供身份证明扫描件。</w:t>
      </w:r>
    </w:p>
    <w:p w14:paraId="48C56367">
      <w:pPr>
        <w:spacing w:line="360" w:lineRule="auto"/>
        <w:rPr>
          <w:rFonts w:hint="eastAsia" w:ascii="宋体" w:hAnsi="宋体"/>
          <w:color w:val="auto"/>
        </w:rPr>
        <w:sectPr>
          <w:pgSz w:w="11911" w:h="16838"/>
          <w:pgMar w:top="1378" w:right="1440" w:bottom="1502" w:left="1582" w:header="879" w:footer="1304" w:gutter="0"/>
          <w:cols w:space="0" w:num="1"/>
        </w:sectPr>
      </w:pPr>
    </w:p>
    <w:p w14:paraId="3E282B71">
      <w:pPr>
        <w:spacing w:before="240" w:beforeLines="100" w:after="240" w:afterLines="100"/>
        <w:jc w:val="center"/>
        <w:outlineLvl w:val="2"/>
        <w:rPr>
          <w:b/>
          <w:color w:val="auto"/>
          <w:sz w:val="28"/>
          <w:szCs w:val="28"/>
        </w:rPr>
      </w:pPr>
      <w:r>
        <w:rPr>
          <w:rFonts w:hint="eastAsia"/>
          <w:b/>
          <w:color w:val="auto"/>
          <w:sz w:val="28"/>
          <w:szCs w:val="28"/>
        </w:rPr>
        <w:t>五</w:t>
      </w:r>
      <w:r>
        <w:rPr>
          <w:b/>
          <w:color w:val="auto"/>
          <w:sz w:val="28"/>
          <w:szCs w:val="28"/>
        </w:rPr>
        <w:t>、商务响应表</w:t>
      </w:r>
    </w:p>
    <w:p w14:paraId="65E40E21">
      <w:pPr>
        <w:pStyle w:val="12"/>
        <w:spacing w:line="360" w:lineRule="auto"/>
        <w:rPr>
          <w:rFonts w:hint="eastAsia"/>
          <w:b/>
          <w:color w:val="auto"/>
          <w:sz w:val="21"/>
          <w:szCs w:val="21"/>
        </w:rPr>
      </w:pPr>
    </w:p>
    <w:p w14:paraId="3C937E58">
      <w:pPr>
        <w:pStyle w:val="12"/>
        <w:spacing w:before="11" w:line="360" w:lineRule="auto"/>
        <w:rPr>
          <w:rFonts w:hint="eastAsia"/>
          <w:b/>
          <w:color w:val="auto"/>
          <w:sz w:val="21"/>
          <w:szCs w:val="21"/>
        </w:rPr>
      </w:pPr>
    </w:p>
    <w:tbl>
      <w:tblPr>
        <w:tblStyle w:val="24"/>
        <w:tblW w:w="8525"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2497"/>
        <w:gridCol w:w="2576"/>
        <w:gridCol w:w="811"/>
      </w:tblGrid>
      <w:tr w14:paraId="466CB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Pr>
          <w:p w14:paraId="462E2B80">
            <w:pPr>
              <w:pStyle w:val="37"/>
              <w:spacing w:before="155" w:line="360" w:lineRule="auto"/>
              <w:ind w:left="101" w:right="92"/>
              <w:jc w:val="center"/>
              <w:rPr>
                <w:rFonts w:hint="eastAsia"/>
                <w:b/>
                <w:color w:val="auto"/>
                <w:sz w:val="21"/>
                <w:szCs w:val="21"/>
                <w:lang w:eastAsia="en-US"/>
              </w:rPr>
            </w:pPr>
            <w:r>
              <w:rPr>
                <w:b/>
                <w:color w:val="auto"/>
                <w:sz w:val="21"/>
                <w:szCs w:val="21"/>
                <w:lang w:eastAsia="en-US"/>
              </w:rPr>
              <w:t>序号</w:t>
            </w:r>
          </w:p>
        </w:tc>
        <w:tc>
          <w:tcPr>
            <w:tcW w:w="1916" w:type="dxa"/>
          </w:tcPr>
          <w:p w14:paraId="447AD0AD">
            <w:pPr>
              <w:pStyle w:val="37"/>
              <w:spacing w:before="155" w:line="360" w:lineRule="auto"/>
              <w:ind w:left="454" w:right="447"/>
              <w:jc w:val="center"/>
              <w:rPr>
                <w:rFonts w:hint="eastAsia"/>
                <w:b/>
                <w:color w:val="auto"/>
                <w:sz w:val="21"/>
                <w:szCs w:val="21"/>
                <w:lang w:eastAsia="en-US"/>
              </w:rPr>
            </w:pPr>
            <w:r>
              <w:rPr>
                <w:b/>
                <w:color w:val="auto"/>
                <w:sz w:val="21"/>
                <w:szCs w:val="21"/>
                <w:lang w:eastAsia="en-US"/>
              </w:rPr>
              <w:t>商务条款</w:t>
            </w:r>
          </w:p>
        </w:tc>
        <w:tc>
          <w:tcPr>
            <w:tcW w:w="2497" w:type="dxa"/>
          </w:tcPr>
          <w:p w14:paraId="7D7CD364">
            <w:pPr>
              <w:pStyle w:val="37"/>
              <w:spacing w:before="155" w:line="360" w:lineRule="auto"/>
              <w:ind w:left="524"/>
              <w:rPr>
                <w:rFonts w:hint="eastAsia"/>
                <w:b/>
                <w:color w:val="auto"/>
                <w:sz w:val="21"/>
                <w:szCs w:val="21"/>
                <w:lang w:eastAsia="en-US"/>
              </w:rPr>
            </w:pPr>
            <w:r>
              <w:rPr>
                <w:b/>
                <w:color w:val="auto"/>
                <w:sz w:val="21"/>
                <w:szCs w:val="21"/>
                <w:lang w:eastAsia="en-US"/>
              </w:rPr>
              <w:t>磋商文件要求</w:t>
            </w:r>
          </w:p>
        </w:tc>
        <w:tc>
          <w:tcPr>
            <w:tcW w:w="2576" w:type="dxa"/>
          </w:tcPr>
          <w:p w14:paraId="7E083CF5">
            <w:pPr>
              <w:pStyle w:val="37"/>
              <w:spacing w:before="155" w:line="360" w:lineRule="auto"/>
              <w:ind w:left="682"/>
              <w:rPr>
                <w:rFonts w:hint="eastAsia"/>
                <w:b/>
                <w:color w:val="auto"/>
                <w:sz w:val="21"/>
                <w:szCs w:val="21"/>
                <w:lang w:eastAsia="en-US"/>
              </w:rPr>
            </w:pPr>
            <w:r>
              <w:rPr>
                <w:b/>
                <w:color w:val="auto"/>
                <w:sz w:val="21"/>
                <w:szCs w:val="21"/>
                <w:lang w:eastAsia="en-US"/>
              </w:rPr>
              <w:t>供应商承诺</w:t>
            </w:r>
          </w:p>
        </w:tc>
        <w:tc>
          <w:tcPr>
            <w:tcW w:w="811" w:type="dxa"/>
          </w:tcPr>
          <w:p w14:paraId="69C93BD5">
            <w:pPr>
              <w:pStyle w:val="37"/>
              <w:spacing w:line="360" w:lineRule="auto"/>
              <w:ind w:left="161"/>
              <w:rPr>
                <w:rFonts w:hint="eastAsia"/>
                <w:b/>
                <w:color w:val="auto"/>
                <w:sz w:val="21"/>
                <w:szCs w:val="21"/>
                <w:lang w:eastAsia="en-US"/>
              </w:rPr>
            </w:pPr>
            <w:r>
              <w:rPr>
                <w:b/>
                <w:color w:val="auto"/>
                <w:sz w:val="21"/>
                <w:szCs w:val="21"/>
                <w:lang w:eastAsia="en-US"/>
              </w:rPr>
              <w:t>偏离</w:t>
            </w:r>
          </w:p>
          <w:p w14:paraId="4770C72A">
            <w:pPr>
              <w:pStyle w:val="37"/>
              <w:spacing w:before="4" w:line="360" w:lineRule="auto"/>
              <w:ind w:left="161"/>
              <w:rPr>
                <w:rFonts w:hint="eastAsia"/>
                <w:b/>
                <w:color w:val="auto"/>
                <w:sz w:val="21"/>
                <w:szCs w:val="21"/>
                <w:lang w:eastAsia="en-US"/>
              </w:rPr>
            </w:pPr>
            <w:r>
              <w:rPr>
                <w:b/>
                <w:color w:val="auto"/>
                <w:sz w:val="21"/>
                <w:szCs w:val="21"/>
                <w:lang w:eastAsia="en-US"/>
              </w:rPr>
              <w:t>说明</w:t>
            </w:r>
          </w:p>
        </w:tc>
      </w:tr>
      <w:tr w14:paraId="6F86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Pr>
          <w:p w14:paraId="2D8FC70D">
            <w:pPr>
              <w:pStyle w:val="37"/>
              <w:spacing w:before="71" w:line="360" w:lineRule="auto"/>
              <w:ind w:left="9"/>
              <w:jc w:val="center"/>
              <w:rPr>
                <w:rFonts w:hint="eastAsia"/>
                <w:color w:val="auto"/>
                <w:sz w:val="21"/>
                <w:szCs w:val="21"/>
                <w:lang w:eastAsia="en-US"/>
              </w:rPr>
            </w:pPr>
            <w:r>
              <w:rPr>
                <w:color w:val="auto"/>
                <w:sz w:val="21"/>
                <w:szCs w:val="21"/>
                <w:lang w:eastAsia="en-US"/>
              </w:rPr>
              <w:t>1</w:t>
            </w:r>
          </w:p>
        </w:tc>
        <w:tc>
          <w:tcPr>
            <w:tcW w:w="1916" w:type="dxa"/>
          </w:tcPr>
          <w:p w14:paraId="54F88399">
            <w:pPr>
              <w:pStyle w:val="37"/>
              <w:spacing w:before="71" w:line="360" w:lineRule="auto"/>
              <w:ind w:left="454" w:right="446"/>
              <w:jc w:val="center"/>
              <w:rPr>
                <w:rFonts w:hint="eastAsia"/>
                <w:color w:val="auto"/>
                <w:sz w:val="21"/>
                <w:szCs w:val="21"/>
                <w:lang w:eastAsia="en-US"/>
              </w:rPr>
            </w:pPr>
            <w:r>
              <w:rPr>
                <w:color w:val="auto"/>
                <w:sz w:val="21"/>
                <w:szCs w:val="21"/>
                <w:lang w:eastAsia="en-US"/>
              </w:rPr>
              <w:t>付款方式</w:t>
            </w:r>
          </w:p>
        </w:tc>
        <w:tc>
          <w:tcPr>
            <w:tcW w:w="2497" w:type="dxa"/>
          </w:tcPr>
          <w:p w14:paraId="5499B116">
            <w:pPr>
              <w:pStyle w:val="37"/>
              <w:spacing w:line="360" w:lineRule="auto"/>
              <w:rPr>
                <w:rFonts w:hint="eastAsia"/>
                <w:color w:val="auto"/>
                <w:sz w:val="21"/>
                <w:szCs w:val="21"/>
                <w:lang w:eastAsia="en-US"/>
              </w:rPr>
            </w:pPr>
          </w:p>
        </w:tc>
        <w:tc>
          <w:tcPr>
            <w:tcW w:w="2576" w:type="dxa"/>
          </w:tcPr>
          <w:p w14:paraId="0795676F">
            <w:pPr>
              <w:pStyle w:val="37"/>
              <w:spacing w:line="360" w:lineRule="auto"/>
              <w:rPr>
                <w:rFonts w:hint="eastAsia"/>
                <w:color w:val="auto"/>
                <w:sz w:val="21"/>
                <w:szCs w:val="21"/>
                <w:lang w:eastAsia="en-US"/>
              </w:rPr>
            </w:pPr>
          </w:p>
        </w:tc>
        <w:tc>
          <w:tcPr>
            <w:tcW w:w="811" w:type="dxa"/>
          </w:tcPr>
          <w:p w14:paraId="38816E4E">
            <w:pPr>
              <w:pStyle w:val="37"/>
              <w:spacing w:line="360" w:lineRule="auto"/>
              <w:rPr>
                <w:rFonts w:hint="eastAsia"/>
                <w:color w:val="auto"/>
                <w:sz w:val="21"/>
                <w:szCs w:val="21"/>
                <w:lang w:eastAsia="en-US"/>
              </w:rPr>
            </w:pPr>
          </w:p>
        </w:tc>
      </w:tr>
      <w:tr w14:paraId="7E4A1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Pr>
          <w:p w14:paraId="213957D8">
            <w:pPr>
              <w:pStyle w:val="37"/>
              <w:spacing w:before="72" w:line="360" w:lineRule="auto"/>
              <w:ind w:left="9"/>
              <w:jc w:val="center"/>
              <w:rPr>
                <w:rFonts w:hint="eastAsia"/>
                <w:color w:val="auto"/>
                <w:sz w:val="21"/>
                <w:szCs w:val="21"/>
                <w:lang w:eastAsia="en-US"/>
              </w:rPr>
            </w:pPr>
            <w:r>
              <w:rPr>
                <w:color w:val="auto"/>
                <w:sz w:val="21"/>
                <w:szCs w:val="21"/>
                <w:lang w:eastAsia="en-US"/>
              </w:rPr>
              <w:t>2</w:t>
            </w:r>
          </w:p>
        </w:tc>
        <w:tc>
          <w:tcPr>
            <w:tcW w:w="1916" w:type="dxa"/>
          </w:tcPr>
          <w:p w14:paraId="3EDB3CC2">
            <w:pPr>
              <w:pStyle w:val="37"/>
              <w:spacing w:before="72" w:line="360" w:lineRule="auto"/>
              <w:ind w:left="454" w:right="446"/>
              <w:jc w:val="center"/>
              <w:rPr>
                <w:rFonts w:hint="eastAsia"/>
                <w:color w:val="auto"/>
                <w:sz w:val="21"/>
                <w:szCs w:val="21"/>
                <w:lang w:eastAsia="en-US"/>
              </w:rPr>
            </w:pPr>
            <w:r>
              <w:rPr>
                <w:color w:val="auto"/>
                <w:sz w:val="21"/>
                <w:szCs w:val="21"/>
                <w:lang w:eastAsia="en-US"/>
              </w:rPr>
              <w:t>服务地点</w:t>
            </w:r>
          </w:p>
        </w:tc>
        <w:tc>
          <w:tcPr>
            <w:tcW w:w="2497" w:type="dxa"/>
          </w:tcPr>
          <w:p w14:paraId="1935C687">
            <w:pPr>
              <w:pStyle w:val="37"/>
              <w:spacing w:line="360" w:lineRule="auto"/>
              <w:rPr>
                <w:rFonts w:hint="eastAsia"/>
                <w:color w:val="auto"/>
                <w:sz w:val="21"/>
                <w:szCs w:val="21"/>
                <w:lang w:eastAsia="en-US"/>
              </w:rPr>
            </w:pPr>
          </w:p>
        </w:tc>
        <w:tc>
          <w:tcPr>
            <w:tcW w:w="2576" w:type="dxa"/>
          </w:tcPr>
          <w:p w14:paraId="15B8B637">
            <w:pPr>
              <w:pStyle w:val="37"/>
              <w:spacing w:line="360" w:lineRule="auto"/>
              <w:rPr>
                <w:rFonts w:hint="eastAsia"/>
                <w:color w:val="auto"/>
                <w:sz w:val="21"/>
                <w:szCs w:val="21"/>
                <w:lang w:eastAsia="en-US"/>
              </w:rPr>
            </w:pPr>
          </w:p>
        </w:tc>
        <w:tc>
          <w:tcPr>
            <w:tcW w:w="811" w:type="dxa"/>
          </w:tcPr>
          <w:p w14:paraId="201A3992">
            <w:pPr>
              <w:pStyle w:val="37"/>
              <w:spacing w:line="360" w:lineRule="auto"/>
              <w:rPr>
                <w:rFonts w:hint="eastAsia"/>
                <w:color w:val="auto"/>
                <w:sz w:val="21"/>
                <w:szCs w:val="21"/>
                <w:lang w:eastAsia="en-US"/>
              </w:rPr>
            </w:pPr>
          </w:p>
        </w:tc>
      </w:tr>
      <w:tr w14:paraId="37E50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Pr>
          <w:p w14:paraId="5DE16447">
            <w:pPr>
              <w:pStyle w:val="37"/>
              <w:spacing w:before="71" w:line="360" w:lineRule="auto"/>
              <w:ind w:left="9"/>
              <w:jc w:val="center"/>
              <w:rPr>
                <w:rFonts w:hint="eastAsia"/>
                <w:color w:val="auto"/>
                <w:sz w:val="21"/>
                <w:szCs w:val="21"/>
                <w:lang w:eastAsia="en-US"/>
              </w:rPr>
            </w:pPr>
            <w:r>
              <w:rPr>
                <w:color w:val="auto"/>
                <w:sz w:val="21"/>
                <w:szCs w:val="21"/>
                <w:lang w:eastAsia="en-US"/>
              </w:rPr>
              <w:t>3</w:t>
            </w:r>
          </w:p>
        </w:tc>
        <w:tc>
          <w:tcPr>
            <w:tcW w:w="1916" w:type="dxa"/>
          </w:tcPr>
          <w:p w14:paraId="348AD69C">
            <w:pPr>
              <w:pStyle w:val="37"/>
              <w:spacing w:before="71" w:line="360" w:lineRule="auto"/>
              <w:ind w:left="454" w:right="446"/>
              <w:jc w:val="center"/>
              <w:rPr>
                <w:rFonts w:hint="eastAsia"/>
                <w:color w:val="auto"/>
                <w:sz w:val="21"/>
                <w:szCs w:val="21"/>
                <w:lang w:eastAsia="en-US"/>
              </w:rPr>
            </w:pPr>
            <w:r>
              <w:rPr>
                <w:color w:val="auto"/>
                <w:sz w:val="21"/>
                <w:szCs w:val="21"/>
                <w:lang w:eastAsia="en-US"/>
              </w:rPr>
              <w:t>服务期限</w:t>
            </w:r>
          </w:p>
        </w:tc>
        <w:tc>
          <w:tcPr>
            <w:tcW w:w="2497" w:type="dxa"/>
          </w:tcPr>
          <w:p w14:paraId="5B1D00B8">
            <w:pPr>
              <w:pStyle w:val="37"/>
              <w:spacing w:line="360" w:lineRule="auto"/>
              <w:rPr>
                <w:rFonts w:hint="eastAsia"/>
                <w:color w:val="auto"/>
                <w:sz w:val="21"/>
                <w:szCs w:val="21"/>
                <w:lang w:eastAsia="en-US"/>
              </w:rPr>
            </w:pPr>
          </w:p>
        </w:tc>
        <w:tc>
          <w:tcPr>
            <w:tcW w:w="2576" w:type="dxa"/>
          </w:tcPr>
          <w:p w14:paraId="54D95D12">
            <w:pPr>
              <w:pStyle w:val="37"/>
              <w:spacing w:line="360" w:lineRule="auto"/>
              <w:rPr>
                <w:rFonts w:hint="eastAsia"/>
                <w:color w:val="auto"/>
                <w:sz w:val="21"/>
                <w:szCs w:val="21"/>
                <w:lang w:eastAsia="en-US"/>
              </w:rPr>
            </w:pPr>
          </w:p>
        </w:tc>
        <w:tc>
          <w:tcPr>
            <w:tcW w:w="811" w:type="dxa"/>
          </w:tcPr>
          <w:p w14:paraId="7CD4BCF0">
            <w:pPr>
              <w:pStyle w:val="37"/>
              <w:spacing w:line="360" w:lineRule="auto"/>
              <w:rPr>
                <w:rFonts w:hint="eastAsia"/>
                <w:color w:val="auto"/>
                <w:sz w:val="21"/>
                <w:szCs w:val="21"/>
                <w:lang w:eastAsia="en-US"/>
              </w:rPr>
            </w:pPr>
          </w:p>
        </w:tc>
      </w:tr>
      <w:tr w14:paraId="1BFB9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Pr>
          <w:p w14:paraId="3D4FA15E">
            <w:pPr>
              <w:pStyle w:val="37"/>
              <w:spacing w:before="72" w:line="360" w:lineRule="auto"/>
              <w:ind w:left="9"/>
              <w:jc w:val="center"/>
              <w:rPr>
                <w:rFonts w:hint="eastAsia"/>
                <w:color w:val="auto"/>
                <w:sz w:val="21"/>
                <w:szCs w:val="21"/>
                <w:lang w:eastAsia="en-US"/>
              </w:rPr>
            </w:pPr>
            <w:r>
              <w:rPr>
                <w:color w:val="auto"/>
                <w:w w:val="200"/>
                <w:sz w:val="21"/>
                <w:szCs w:val="21"/>
                <w:lang w:eastAsia="en-US"/>
              </w:rPr>
              <w:t>„</w:t>
            </w:r>
          </w:p>
        </w:tc>
        <w:tc>
          <w:tcPr>
            <w:tcW w:w="1916" w:type="dxa"/>
          </w:tcPr>
          <w:p w14:paraId="7EEF3981">
            <w:pPr>
              <w:pStyle w:val="37"/>
              <w:spacing w:line="360" w:lineRule="auto"/>
              <w:rPr>
                <w:rFonts w:hint="eastAsia"/>
                <w:color w:val="auto"/>
                <w:sz w:val="21"/>
                <w:szCs w:val="21"/>
                <w:lang w:eastAsia="en-US"/>
              </w:rPr>
            </w:pPr>
          </w:p>
        </w:tc>
        <w:tc>
          <w:tcPr>
            <w:tcW w:w="2497" w:type="dxa"/>
          </w:tcPr>
          <w:p w14:paraId="4BC64013">
            <w:pPr>
              <w:pStyle w:val="37"/>
              <w:spacing w:line="360" w:lineRule="auto"/>
              <w:rPr>
                <w:rFonts w:hint="eastAsia"/>
                <w:color w:val="auto"/>
                <w:sz w:val="21"/>
                <w:szCs w:val="21"/>
                <w:lang w:eastAsia="en-US"/>
              </w:rPr>
            </w:pPr>
          </w:p>
        </w:tc>
        <w:tc>
          <w:tcPr>
            <w:tcW w:w="2576" w:type="dxa"/>
          </w:tcPr>
          <w:p w14:paraId="6119630A">
            <w:pPr>
              <w:pStyle w:val="37"/>
              <w:spacing w:line="360" w:lineRule="auto"/>
              <w:rPr>
                <w:rFonts w:hint="eastAsia"/>
                <w:color w:val="auto"/>
                <w:sz w:val="21"/>
                <w:szCs w:val="21"/>
                <w:lang w:eastAsia="en-US"/>
              </w:rPr>
            </w:pPr>
          </w:p>
        </w:tc>
        <w:tc>
          <w:tcPr>
            <w:tcW w:w="811" w:type="dxa"/>
          </w:tcPr>
          <w:p w14:paraId="247E7D83">
            <w:pPr>
              <w:pStyle w:val="37"/>
              <w:spacing w:line="360" w:lineRule="auto"/>
              <w:rPr>
                <w:rFonts w:hint="eastAsia"/>
                <w:color w:val="auto"/>
                <w:sz w:val="21"/>
                <w:szCs w:val="21"/>
                <w:lang w:eastAsia="en-US"/>
              </w:rPr>
            </w:pPr>
          </w:p>
        </w:tc>
      </w:tr>
    </w:tbl>
    <w:p w14:paraId="524F3DE4">
      <w:pPr>
        <w:spacing w:line="360" w:lineRule="auto"/>
        <w:rPr>
          <w:rFonts w:hint="eastAsia" w:ascii="宋体" w:hAnsi="宋体"/>
          <w:color w:val="auto"/>
        </w:rPr>
        <w:sectPr>
          <w:pgSz w:w="11911" w:h="16838"/>
          <w:pgMar w:top="1378" w:right="1440" w:bottom="1502" w:left="1582" w:header="879" w:footer="1304" w:gutter="0"/>
          <w:cols w:space="0" w:num="1"/>
        </w:sectPr>
      </w:pPr>
    </w:p>
    <w:p w14:paraId="5BF553C5">
      <w:pPr>
        <w:spacing w:before="240" w:beforeLines="100" w:after="240" w:afterLines="100"/>
        <w:jc w:val="center"/>
        <w:outlineLvl w:val="2"/>
        <w:rPr>
          <w:b/>
          <w:color w:val="auto"/>
          <w:sz w:val="28"/>
          <w:szCs w:val="28"/>
        </w:rPr>
      </w:pPr>
      <w:r>
        <w:rPr>
          <w:rFonts w:hint="eastAsia"/>
          <w:b/>
          <w:color w:val="auto"/>
          <w:sz w:val="28"/>
          <w:szCs w:val="28"/>
        </w:rPr>
        <w:t>六</w:t>
      </w:r>
      <w:r>
        <w:rPr>
          <w:b/>
          <w:color w:val="auto"/>
          <w:sz w:val="28"/>
          <w:szCs w:val="28"/>
        </w:rPr>
        <w:t>、</w:t>
      </w:r>
      <w:r>
        <w:rPr>
          <w:rFonts w:hint="eastAsia"/>
          <w:b/>
          <w:color w:val="auto"/>
          <w:sz w:val="28"/>
          <w:szCs w:val="28"/>
        </w:rPr>
        <w:t>人员配备（格式自拟）</w:t>
      </w:r>
    </w:p>
    <w:p w14:paraId="707DB54B">
      <w:pPr>
        <w:rPr>
          <w:rFonts w:hint="eastAsia" w:ascii="宋体" w:hAnsi="宋体"/>
          <w:b/>
          <w:color w:val="auto"/>
        </w:rPr>
      </w:pPr>
    </w:p>
    <w:p w14:paraId="68E952D7">
      <w:pPr>
        <w:spacing w:line="360" w:lineRule="auto"/>
        <w:rPr>
          <w:rFonts w:hint="eastAsia" w:ascii="宋体" w:hAnsi="宋体"/>
          <w:color w:val="auto"/>
        </w:rPr>
        <w:sectPr>
          <w:pgSz w:w="11911" w:h="16838"/>
          <w:pgMar w:top="1378" w:right="1440" w:bottom="1502" w:left="1582" w:header="879" w:footer="1304" w:gutter="0"/>
          <w:cols w:space="0" w:num="1"/>
        </w:sectPr>
      </w:pPr>
    </w:p>
    <w:p w14:paraId="1EEE020F">
      <w:pPr>
        <w:spacing w:before="240" w:beforeLines="100" w:after="240" w:afterLines="100"/>
        <w:jc w:val="center"/>
        <w:outlineLvl w:val="2"/>
        <w:rPr>
          <w:b/>
          <w:color w:val="auto"/>
          <w:sz w:val="28"/>
          <w:szCs w:val="28"/>
        </w:rPr>
      </w:pPr>
      <w:r>
        <w:rPr>
          <w:rFonts w:hint="eastAsia"/>
          <w:b/>
          <w:color w:val="auto"/>
          <w:sz w:val="28"/>
          <w:szCs w:val="28"/>
        </w:rPr>
        <w:t>七、服务方案（格式自拟）</w:t>
      </w:r>
    </w:p>
    <w:p w14:paraId="4E04DADF">
      <w:pPr>
        <w:rPr>
          <w:b/>
          <w:color w:val="auto"/>
          <w:sz w:val="28"/>
          <w:szCs w:val="28"/>
        </w:rPr>
      </w:pPr>
      <w:r>
        <w:rPr>
          <w:rFonts w:hint="eastAsia"/>
          <w:b/>
          <w:color w:val="auto"/>
          <w:sz w:val="28"/>
          <w:szCs w:val="28"/>
        </w:rPr>
        <w:br w:type="page"/>
      </w:r>
    </w:p>
    <w:p w14:paraId="61AF6F52">
      <w:pPr>
        <w:spacing w:before="240" w:beforeLines="100" w:after="240" w:afterLines="100"/>
        <w:jc w:val="center"/>
        <w:outlineLvl w:val="2"/>
        <w:rPr>
          <w:b/>
          <w:color w:val="auto"/>
          <w:sz w:val="28"/>
          <w:szCs w:val="28"/>
        </w:rPr>
      </w:pPr>
      <w:r>
        <w:rPr>
          <w:rFonts w:hint="eastAsia"/>
          <w:b/>
          <w:color w:val="auto"/>
          <w:sz w:val="28"/>
          <w:szCs w:val="28"/>
        </w:rPr>
        <w:t>八</w:t>
      </w:r>
      <w:r>
        <w:rPr>
          <w:b/>
          <w:color w:val="auto"/>
          <w:sz w:val="28"/>
          <w:szCs w:val="28"/>
        </w:rPr>
        <w:t>、其他相关证明材料</w:t>
      </w:r>
    </w:p>
    <w:p w14:paraId="74C664C4">
      <w:pPr>
        <w:pStyle w:val="12"/>
        <w:spacing w:before="160" w:line="360" w:lineRule="auto"/>
        <w:ind w:left="220" w:right="361" w:firstLine="479"/>
        <w:rPr>
          <w:rFonts w:hint="eastAsia"/>
          <w:color w:val="auto"/>
          <w:sz w:val="21"/>
          <w:szCs w:val="21"/>
        </w:rPr>
      </w:pPr>
      <w:r>
        <w:rPr>
          <w:color w:val="auto"/>
          <w:sz w:val="21"/>
          <w:szCs w:val="21"/>
        </w:rPr>
        <w:t>提供符合磋商邀请（磋商公告</w:t>
      </w:r>
      <w:r>
        <w:rPr>
          <w:color w:val="auto"/>
          <w:spacing w:val="-118"/>
          <w:sz w:val="21"/>
          <w:szCs w:val="21"/>
        </w:rPr>
        <w:t>）</w:t>
      </w:r>
      <w:r>
        <w:rPr>
          <w:color w:val="auto"/>
          <w:spacing w:val="-1"/>
          <w:sz w:val="21"/>
          <w:szCs w:val="21"/>
        </w:rPr>
        <w:t>、采购需求及评审方法和标准规定的相关证</w:t>
      </w:r>
      <w:r>
        <w:rPr>
          <w:color w:val="auto"/>
          <w:sz w:val="21"/>
          <w:szCs w:val="21"/>
        </w:rPr>
        <w:t>明文件。</w:t>
      </w:r>
    </w:p>
    <w:p w14:paraId="0D2E923C">
      <w:pPr>
        <w:pStyle w:val="12"/>
        <w:spacing w:before="160" w:line="360" w:lineRule="auto"/>
        <w:ind w:left="560" w:right="561" w:firstLine="479"/>
        <w:rPr>
          <w:rFonts w:hint="eastAsia" w:ascii="宋体" w:hAnsi="宋体" w:eastAsia="宋体" w:cs="宋体"/>
          <w:color w:val="auto"/>
          <w:lang w:eastAsia="zh-CN"/>
        </w:rPr>
      </w:pPr>
    </w:p>
    <w:sectPr>
      <w:footerReference r:id="rId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6FB8953-7E15-4C5A-A2EF-F75D465C386A}"/>
  </w:font>
  <w:font w:name="黑体">
    <w:panose1 w:val="02010609060101010101"/>
    <w:charset w:val="86"/>
    <w:family w:val="auto"/>
    <w:pitch w:val="default"/>
    <w:sig w:usb0="800002BF" w:usb1="38CF7CFA" w:usb2="00000016" w:usb3="00000000" w:csb0="00040001" w:csb1="00000000"/>
    <w:embedRegular r:id="rId2" w:fontKey="{96CCEE35-CCFC-480A-8025-4CFBB9BC1C02}"/>
  </w:font>
  <w:font w:name="Courier New">
    <w:panose1 w:val="02070309020205020404"/>
    <w:charset w:val="01"/>
    <w:family w:val="modern"/>
    <w:pitch w:val="default"/>
    <w:sig w:usb0="E0002EFF" w:usb1="C0007843" w:usb2="00000009" w:usb3="00000000" w:csb0="400001FF" w:csb1="FFFF0000"/>
    <w:embedRegular r:id="rId3" w:fontKey="{A0679133-DFC5-4FF0-8185-BA551A2C063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宋?">
    <w:altName w:val="宋体"/>
    <w:panose1 w:val="00000000000000000000"/>
    <w:charset w:val="81"/>
    <w:family w:val="auto"/>
    <w:pitch w:val="default"/>
    <w:sig w:usb0="00000000" w:usb1="00000000" w:usb2="00000010" w:usb3="00000000" w:csb0="00080000" w:csb1="00000000"/>
  </w:font>
  <w:font w:name="仿宋">
    <w:panose1 w:val="02010609060101010101"/>
    <w:charset w:val="86"/>
    <w:family w:val="auto"/>
    <w:pitch w:val="default"/>
    <w:sig w:usb0="800002BF" w:usb1="38CF7CFA" w:usb2="00000016" w:usb3="00000000" w:csb0="00040001" w:csb1="00000000"/>
    <w:embedRegular r:id="rId4" w:fontKey="{C77F0289-3815-480F-9ABD-BAD1CBEF916B}"/>
  </w:font>
  <w:font w:name="华文仿宋">
    <w:panose1 w:val="02010600040101010101"/>
    <w:charset w:val="86"/>
    <w:family w:val="auto"/>
    <w:pitch w:val="default"/>
    <w:sig w:usb0="00000287" w:usb1="080F0000" w:usb2="00000000" w:usb3="00000000" w:csb0="0004009F" w:csb1="DFD70000"/>
    <w:embedRegular r:id="rId5" w:fontKey="{BB4FB032-FAD1-4D99-B78B-812585203478}"/>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29B52">
    <w:pPr>
      <w:pStyle w:val="16"/>
      <w:tabs>
        <w:tab w:val="left" w:pos="8797"/>
        <w:tab w:val="clear" w:pos="4153"/>
      </w:tabs>
      <w:rPr>
        <w:rFonts w:hint="eastAsia"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5861050</wp:posOffset>
              </wp:positionH>
              <wp:positionV relativeFrom="paragraph">
                <wp:posOffset>0</wp:posOffset>
              </wp:positionV>
              <wp:extent cx="26987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98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82A3A4">
                          <w:pPr>
                            <w:pStyle w:val="16"/>
                            <w:rPr>
                              <w:rFonts w:hint="eastAsia" w:eastAsia="宋体"/>
                              <w:lang w:eastAsia="zh-CN"/>
                            </w:rPr>
                          </w:pP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61.5pt;margin-top:0pt;height:144pt;width:21.25pt;mso-position-horizontal-relative:margin;z-index:251659264;mso-width-relative:page;mso-height-relative:page;" filled="f" stroked="f" coordsize="21600,21600" o:gfxdata="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6549gAAAAIAQAADwAAAAAAAAABACAAAAAiAAAAZHJzL2Rvd25y&#10;ZXYueG1sUEsBAhQAFAAAAAgAh07iQNSH3Wc3AgAAYgQAAA4AAAAAAAAAAQAgAAAAJwEAAGRycy9l&#10;Mm9Eb2MueG1sUEsFBgAAAAAGAAYAWQEAANAFAAAAAA==&#10;">
              <v:fill on="f" focussize="0,0"/>
              <v:stroke on="f" weight="0.5pt"/>
              <v:imagedata o:title=""/>
              <o:lock v:ext="edit" aspectratio="f"/>
              <v:textbox inset="0mm,0mm,0mm,0mm" style="mso-fit-shape-to-text:t;">
                <w:txbxContent>
                  <w:p w14:paraId="0982A3A4">
                    <w:pPr>
                      <w:pStyle w:val="16"/>
                      <w:rPr>
                        <w:rFonts w:hint="eastAsia" w:eastAsia="宋体"/>
                        <w:lang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5739765</wp:posOffset>
              </wp:positionH>
              <wp:positionV relativeFrom="paragraph">
                <wp:posOffset>230505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0FB56A">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51.95pt;margin-top:18.15pt;height:144pt;width:144pt;mso-position-horizontal-relative:margin;mso-wrap-style:none;z-index:251660288;mso-width-relative:page;mso-height-relative:page;" filled="f" stroked="f" coordsize="21600,21600" o:gfxdata="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8fMcx1wAAAAsBAAAPAAAAAAAAAAEAIAAAACIAAABkcnMvZG93bnJldi54bWxQ&#10;SwECFAAUAAAACACHTuJAJIJGtDECAABhBAAADgAAAAAAAAABACAAAAAmAQAAZHJzL2Uyb0RvYy54&#10;bWxQSwUGAAAAAAYABgBZAQAAyQUAAAAA&#10;">
              <v:fill on="f" focussize="0,0"/>
              <v:stroke on="f" weight="0.5pt"/>
              <v:imagedata o:title=""/>
              <o:lock v:ext="edit" aspectratio="f"/>
              <v:textbox inset="0mm,0mm,0mm,0mm" style="mso-fit-shape-to-text:t;">
                <w:txbxContent>
                  <w:p w14:paraId="2E0FB56A">
                    <w:pPr>
                      <w:rPr>
                        <w:rFonts w:hint="eastAsia"/>
                        <w:lang w:eastAsia="zh-CN"/>
                      </w:rPr>
                    </w:pPr>
                  </w:p>
                </w:txbxContent>
              </v:textbox>
            </v:shape>
          </w:pict>
        </mc:Fallback>
      </mc:AlternateContent>
    </w:r>
    <w:r>
      <w:rPr>
        <w:rFonts w:hint="eastAsia"/>
        <w:lang w:val="en-US"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D8A41">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43F2A">
                          <w:pPr>
                            <w:pStyle w:val="1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543F2A">
                    <w:pPr>
                      <w:pStyle w:val="1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3325C">
    <w:pPr>
      <w:pStyle w:val="1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9A5F">
                          <w:pPr>
                            <w:pStyle w:val="1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D29A5F">
                    <w:pPr>
                      <w:pStyle w:val="1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D9008">
    <w:pPr>
      <w:spacing w:line="14" w:lineRule="auto"/>
      <w:rPr>
        <w:sz w:val="20"/>
        <w:szCs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FF98D">
                          <w:pPr>
                            <w:pStyle w:val="16"/>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E8FF98D">
                    <w:pPr>
                      <w:pStyle w:val="16"/>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F3F5">
    <w:pPr>
      <w:spacing w:line="14" w:lineRule="auto"/>
      <w:rPr>
        <w:sz w:val="20"/>
        <w:szCs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99836">
                          <w:pPr>
                            <w:pStyle w:val="1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2799836">
                    <w:pPr>
                      <w:pStyle w:val="1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0DC0E">
    <w:pPr>
      <w:pStyle w:val="17"/>
      <w:pBdr>
        <w:bottom w:val="none" w:color="auto" w:sz="0" w:space="1"/>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22EA2">
    <w:pPr>
      <w:pStyle w:val="17"/>
      <w:pBdr>
        <w:bottom w:val="none" w:color="auto" w:sz="0" w:space="1"/>
      </w:pBd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366D6"/>
    <w:multiLevelType w:val="singleLevel"/>
    <w:tmpl w:val="887366D6"/>
    <w:lvl w:ilvl="0" w:tentative="0">
      <w:start w:val="1"/>
      <w:numFmt w:val="decimal"/>
      <w:suff w:val="nothing"/>
      <w:lvlText w:val="（%1）"/>
      <w:lvlJc w:val="left"/>
    </w:lvl>
  </w:abstractNum>
  <w:abstractNum w:abstractNumId="1">
    <w:nsid w:val="A6384985"/>
    <w:multiLevelType w:val="singleLevel"/>
    <w:tmpl w:val="A6384985"/>
    <w:lvl w:ilvl="0" w:tentative="0">
      <w:start w:val="1"/>
      <w:numFmt w:val="decimal"/>
      <w:suff w:val="nothing"/>
      <w:lvlText w:val="%1、"/>
      <w:lvlJc w:val="left"/>
    </w:lvl>
  </w:abstractNum>
  <w:abstractNum w:abstractNumId="2">
    <w:nsid w:val="E80A697C"/>
    <w:multiLevelType w:val="singleLevel"/>
    <w:tmpl w:val="E80A697C"/>
    <w:lvl w:ilvl="0" w:tentative="0">
      <w:start w:val="6"/>
      <w:numFmt w:val="chineseCounting"/>
      <w:lvlText w:val="第%1章"/>
      <w:lvlJc w:val="left"/>
      <w:rPr>
        <w:rFonts w:hint="eastAsia"/>
      </w:rPr>
    </w:lvl>
  </w:abstractNum>
  <w:abstractNum w:abstractNumId="3">
    <w:nsid w:val="0C460F87"/>
    <w:multiLevelType w:val="multilevel"/>
    <w:tmpl w:val="0C460F87"/>
    <w:lvl w:ilvl="0" w:tentative="0">
      <w:start w:val="1"/>
      <w:numFmt w:val="decimal"/>
      <w:lvlText w:val="（%1）"/>
      <w:lvlJc w:val="left"/>
      <w:pPr>
        <w:ind w:left="108" w:hanging="601"/>
      </w:pPr>
      <w:rPr>
        <w:rFonts w:hint="default" w:ascii="宋体" w:hAnsi="宋体" w:eastAsia="宋体" w:cs="宋体"/>
        <w:spacing w:val="0"/>
        <w:w w:val="100"/>
        <w:sz w:val="22"/>
        <w:szCs w:val="22"/>
        <w:lang w:val="zh-CN" w:eastAsia="zh-CN" w:bidi="zh-CN"/>
      </w:rPr>
    </w:lvl>
    <w:lvl w:ilvl="1" w:tentative="0">
      <w:start w:val="0"/>
      <w:numFmt w:val="bullet"/>
      <w:lvlText w:val="•"/>
      <w:lvlJc w:val="left"/>
      <w:pPr>
        <w:ind w:left="635" w:hanging="601"/>
      </w:pPr>
      <w:rPr>
        <w:rFonts w:hint="default"/>
        <w:lang w:val="zh-CN" w:eastAsia="zh-CN" w:bidi="zh-CN"/>
      </w:rPr>
    </w:lvl>
    <w:lvl w:ilvl="2" w:tentative="0">
      <w:start w:val="0"/>
      <w:numFmt w:val="bullet"/>
      <w:lvlText w:val="•"/>
      <w:lvlJc w:val="left"/>
      <w:pPr>
        <w:ind w:left="1171" w:hanging="601"/>
      </w:pPr>
      <w:rPr>
        <w:rFonts w:hint="default"/>
        <w:lang w:val="zh-CN" w:eastAsia="zh-CN" w:bidi="zh-CN"/>
      </w:rPr>
    </w:lvl>
    <w:lvl w:ilvl="3" w:tentative="0">
      <w:start w:val="0"/>
      <w:numFmt w:val="bullet"/>
      <w:lvlText w:val="•"/>
      <w:lvlJc w:val="left"/>
      <w:pPr>
        <w:ind w:left="1707" w:hanging="601"/>
      </w:pPr>
      <w:rPr>
        <w:rFonts w:hint="default"/>
        <w:lang w:val="zh-CN" w:eastAsia="zh-CN" w:bidi="zh-CN"/>
      </w:rPr>
    </w:lvl>
    <w:lvl w:ilvl="4" w:tentative="0">
      <w:start w:val="0"/>
      <w:numFmt w:val="bullet"/>
      <w:lvlText w:val="•"/>
      <w:lvlJc w:val="left"/>
      <w:pPr>
        <w:ind w:left="2243" w:hanging="601"/>
      </w:pPr>
      <w:rPr>
        <w:rFonts w:hint="default"/>
        <w:lang w:val="zh-CN" w:eastAsia="zh-CN" w:bidi="zh-CN"/>
      </w:rPr>
    </w:lvl>
    <w:lvl w:ilvl="5" w:tentative="0">
      <w:start w:val="0"/>
      <w:numFmt w:val="bullet"/>
      <w:lvlText w:val="•"/>
      <w:lvlJc w:val="left"/>
      <w:pPr>
        <w:ind w:left="2779" w:hanging="601"/>
      </w:pPr>
      <w:rPr>
        <w:rFonts w:hint="default"/>
        <w:lang w:val="zh-CN" w:eastAsia="zh-CN" w:bidi="zh-CN"/>
      </w:rPr>
    </w:lvl>
    <w:lvl w:ilvl="6" w:tentative="0">
      <w:start w:val="0"/>
      <w:numFmt w:val="bullet"/>
      <w:lvlText w:val="•"/>
      <w:lvlJc w:val="left"/>
      <w:pPr>
        <w:ind w:left="3314" w:hanging="601"/>
      </w:pPr>
      <w:rPr>
        <w:rFonts w:hint="default"/>
        <w:lang w:val="zh-CN" w:eastAsia="zh-CN" w:bidi="zh-CN"/>
      </w:rPr>
    </w:lvl>
    <w:lvl w:ilvl="7" w:tentative="0">
      <w:start w:val="0"/>
      <w:numFmt w:val="bullet"/>
      <w:lvlText w:val="•"/>
      <w:lvlJc w:val="left"/>
      <w:pPr>
        <w:ind w:left="3850" w:hanging="601"/>
      </w:pPr>
      <w:rPr>
        <w:rFonts w:hint="default"/>
        <w:lang w:val="zh-CN" w:eastAsia="zh-CN" w:bidi="zh-CN"/>
      </w:rPr>
    </w:lvl>
    <w:lvl w:ilvl="8" w:tentative="0">
      <w:start w:val="0"/>
      <w:numFmt w:val="bullet"/>
      <w:lvlText w:val="•"/>
      <w:lvlJc w:val="left"/>
      <w:pPr>
        <w:ind w:left="4386" w:hanging="601"/>
      </w:pPr>
      <w:rPr>
        <w:rFonts w:hint="default"/>
        <w:lang w:val="zh-CN" w:eastAsia="zh-CN" w:bidi="zh-CN"/>
      </w:rPr>
    </w:lvl>
  </w:abstractNum>
  <w:abstractNum w:abstractNumId="4">
    <w:nsid w:val="2CD77000"/>
    <w:multiLevelType w:val="multilevel"/>
    <w:tmpl w:val="2CD77000"/>
    <w:lvl w:ilvl="0" w:tentative="0">
      <w:start w:val="2"/>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220" w:hanging="601"/>
      </w:pPr>
      <w:rPr>
        <w:rFonts w:hint="default" w:ascii="宋体" w:hAnsi="宋体" w:eastAsia="宋体" w:cs="宋体"/>
        <w:w w:val="100"/>
        <w:sz w:val="22"/>
        <w:szCs w:val="22"/>
        <w:lang w:val="zh-CN" w:eastAsia="zh-CN" w:bidi="zh-CN"/>
      </w:rPr>
    </w:lvl>
    <w:lvl w:ilvl="3" w:tentative="0">
      <w:start w:val="0"/>
      <w:numFmt w:val="bullet"/>
      <w:lvlText w:val="•"/>
      <w:lvlJc w:val="left"/>
      <w:pPr>
        <w:ind w:left="2370" w:hanging="601"/>
      </w:pPr>
      <w:rPr>
        <w:rFonts w:hint="default"/>
        <w:lang w:val="zh-CN" w:eastAsia="zh-CN" w:bidi="zh-CN"/>
      </w:rPr>
    </w:lvl>
    <w:lvl w:ilvl="4" w:tentative="0">
      <w:start w:val="0"/>
      <w:numFmt w:val="bullet"/>
      <w:lvlText w:val="•"/>
      <w:lvlJc w:val="left"/>
      <w:pPr>
        <w:ind w:left="3301" w:hanging="601"/>
      </w:pPr>
      <w:rPr>
        <w:rFonts w:hint="default"/>
        <w:lang w:val="zh-CN" w:eastAsia="zh-CN" w:bidi="zh-CN"/>
      </w:rPr>
    </w:lvl>
    <w:lvl w:ilvl="5" w:tentative="0">
      <w:start w:val="0"/>
      <w:numFmt w:val="bullet"/>
      <w:lvlText w:val="•"/>
      <w:lvlJc w:val="left"/>
      <w:pPr>
        <w:ind w:left="4232" w:hanging="601"/>
      </w:pPr>
      <w:rPr>
        <w:rFonts w:hint="default"/>
        <w:lang w:val="zh-CN" w:eastAsia="zh-CN" w:bidi="zh-CN"/>
      </w:rPr>
    </w:lvl>
    <w:lvl w:ilvl="6" w:tentative="0">
      <w:start w:val="0"/>
      <w:numFmt w:val="bullet"/>
      <w:lvlText w:val="•"/>
      <w:lvlJc w:val="left"/>
      <w:pPr>
        <w:ind w:left="5163" w:hanging="601"/>
      </w:pPr>
      <w:rPr>
        <w:rFonts w:hint="default"/>
        <w:lang w:val="zh-CN" w:eastAsia="zh-CN" w:bidi="zh-CN"/>
      </w:rPr>
    </w:lvl>
    <w:lvl w:ilvl="7" w:tentative="0">
      <w:start w:val="0"/>
      <w:numFmt w:val="bullet"/>
      <w:lvlText w:val="•"/>
      <w:lvlJc w:val="left"/>
      <w:pPr>
        <w:ind w:left="6094" w:hanging="601"/>
      </w:pPr>
      <w:rPr>
        <w:rFonts w:hint="default"/>
        <w:lang w:val="zh-CN" w:eastAsia="zh-CN" w:bidi="zh-CN"/>
      </w:rPr>
    </w:lvl>
    <w:lvl w:ilvl="8" w:tentative="0">
      <w:start w:val="0"/>
      <w:numFmt w:val="bullet"/>
      <w:lvlText w:val="•"/>
      <w:lvlJc w:val="left"/>
      <w:pPr>
        <w:ind w:left="7024" w:hanging="601"/>
      </w:pPr>
      <w:rPr>
        <w:rFonts w:hint="default"/>
        <w:lang w:val="zh-CN" w:eastAsia="zh-CN" w:bidi="zh-CN"/>
      </w:rPr>
    </w:lvl>
  </w:abstractNum>
  <w:abstractNum w:abstractNumId="5">
    <w:nsid w:val="486B2ABB"/>
    <w:multiLevelType w:val="singleLevel"/>
    <w:tmpl w:val="486B2ABB"/>
    <w:lvl w:ilvl="0" w:tentative="0">
      <w:start w:val="5"/>
      <w:numFmt w:val="chineseCounting"/>
      <w:suff w:val="nothing"/>
      <w:lvlText w:val="%1、"/>
      <w:lvlJc w:val="left"/>
      <w:rPr>
        <w:rFonts w:hint="eastAsia"/>
      </w:rPr>
    </w:lvl>
  </w:abstractNum>
  <w:abstractNum w:abstractNumId="6">
    <w:nsid w:val="519167AC"/>
    <w:multiLevelType w:val="multilevel"/>
    <w:tmpl w:val="519167AC"/>
    <w:lvl w:ilvl="0" w:tentative="0">
      <w:start w:val="1"/>
      <w:numFmt w:val="decimal"/>
      <w:lvlText w:val="%1"/>
      <w:lvlJc w:val="left"/>
      <w:pPr>
        <w:ind w:left="1142" w:hanging="485"/>
      </w:pPr>
      <w:rPr>
        <w:rFonts w:hint="default"/>
        <w:lang w:val="zh-CN" w:eastAsia="zh-CN" w:bidi="zh-CN"/>
      </w:rPr>
    </w:lvl>
    <w:lvl w:ilvl="1" w:tentative="0">
      <w:start w:val="1"/>
      <w:numFmt w:val="decimal"/>
      <w:lvlText w:val="%1.%2"/>
      <w:lvlJc w:val="left"/>
      <w:pPr>
        <w:ind w:left="1142" w:hanging="485"/>
      </w:pPr>
      <w:rPr>
        <w:rFonts w:hint="default" w:ascii="宋体" w:hAnsi="宋体" w:eastAsia="宋体" w:cs="宋体"/>
        <w:b/>
        <w:bCs/>
        <w:spacing w:val="0"/>
        <w:w w:val="99"/>
        <w:sz w:val="24"/>
        <w:szCs w:val="24"/>
        <w:lang w:val="zh-CN" w:eastAsia="zh-CN" w:bidi="zh-CN"/>
      </w:rPr>
    </w:lvl>
    <w:lvl w:ilvl="2" w:tentative="0">
      <w:start w:val="1"/>
      <w:numFmt w:val="decimal"/>
      <w:lvlText w:val="%1.%2.%3"/>
      <w:lvlJc w:val="left"/>
      <w:pPr>
        <w:ind w:left="1314" w:hanging="660"/>
      </w:pPr>
      <w:rPr>
        <w:rFonts w:hint="default" w:ascii="宋体" w:hAnsi="宋体" w:eastAsia="宋体" w:cs="宋体"/>
        <w:w w:val="100"/>
        <w:sz w:val="24"/>
        <w:szCs w:val="24"/>
        <w:lang w:val="zh-CN" w:eastAsia="zh-CN" w:bidi="zh-CN"/>
      </w:rPr>
    </w:lvl>
    <w:lvl w:ilvl="3" w:tentative="0">
      <w:start w:val="0"/>
      <w:numFmt w:val="bullet"/>
      <w:lvlText w:val="•"/>
      <w:lvlJc w:val="left"/>
      <w:pPr>
        <w:ind w:left="2265" w:hanging="660"/>
      </w:pPr>
      <w:rPr>
        <w:rFonts w:hint="default"/>
        <w:lang w:val="zh-CN" w:eastAsia="zh-CN" w:bidi="zh-CN"/>
      </w:rPr>
    </w:lvl>
    <w:lvl w:ilvl="4" w:tentative="0">
      <w:start w:val="0"/>
      <w:numFmt w:val="bullet"/>
      <w:lvlText w:val="•"/>
      <w:lvlJc w:val="left"/>
      <w:pPr>
        <w:ind w:left="3211" w:hanging="660"/>
      </w:pPr>
      <w:rPr>
        <w:rFonts w:hint="default"/>
        <w:lang w:val="zh-CN" w:eastAsia="zh-CN" w:bidi="zh-CN"/>
      </w:rPr>
    </w:lvl>
    <w:lvl w:ilvl="5" w:tentative="0">
      <w:start w:val="0"/>
      <w:numFmt w:val="bullet"/>
      <w:lvlText w:val="•"/>
      <w:lvlJc w:val="left"/>
      <w:pPr>
        <w:ind w:left="4157" w:hanging="660"/>
      </w:pPr>
      <w:rPr>
        <w:rFonts w:hint="default"/>
        <w:lang w:val="zh-CN" w:eastAsia="zh-CN" w:bidi="zh-CN"/>
      </w:rPr>
    </w:lvl>
    <w:lvl w:ilvl="6" w:tentative="0">
      <w:start w:val="0"/>
      <w:numFmt w:val="bullet"/>
      <w:lvlText w:val="•"/>
      <w:lvlJc w:val="left"/>
      <w:pPr>
        <w:ind w:left="5103" w:hanging="660"/>
      </w:pPr>
      <w:rPr>
        <w:rFonts w:hint="default"/>
        <w:lang w:val="zh-CN" w:eastAsia="zh-CN" w:bidi="zh-CN"/>
      </w:rPr>
    </w:lvl>
    <w:lvl w:ilvl="7" w:tentative="0">
      <w:start w:val="0"/>
      <w:numFmt w:val="bullet"/>
      <w:lvlText w:val="•"/>
      <w:lvlJc w:val="left"/>
      <w:pPr>
        <w:ind w:left="6049" w:hanging="660"/>
      </w:pPr>
      <w:rPr>
        <w:rFonts w:hint="default"/>
        <w:lang w:val="zh-CN" w:eastAsia="zh-CN" w:bidi="zh-CN"/>
      </w:rPr>
    </w:lvl>
    <w:lvl w:ilvl="8" w:tentative="0">
      <w:start w:val="0"/>
      <w:numFmt w:val="bullet"/>
      <w:lvlText w:val="•"/>
      <w:lvlJc w:val="left"/>
      <w:pPr>
        <w:ind w:left="6994" w:hanging="660"/>
      </w:pPr>
      <w:rPr>
        <w:rFonts w:hint="default"/>
        <w:lang w:val="zh-CN" w:eastAsia="zh-CN" w:bidi="zh-CN"/>
      </w:rPr>
    </w:lvl>
  </w:abstractNum>
  <w:abstractNum w:abstractNumId="7">
    <w:nsid w:val="5D6D6484"/>
    <w:multiLevelType w:val="singleLevel"/>
    <w:tmpl w:val="5D6D6484"/>
    <w:lvl w:ilvl="0" w:tentative="0">
      <w:start w:val="1"/>
      <w:numFmt w:val="decimal"/>
      <w:lvlText w:val="%1."/>
      <w:lvlJc w:val="left"/>
      <w:pPr>
        <w:tabs>
          <w:tab w:val="left" w:pos="312"/>
        </w:tabs>
      </w:pPr>
    </w:lvl>
  </w:abstractNum>
  <w:abstractNum w:abstractNumId="8">
    <w:nsid w:val="65D55E18"/>
    <w:multiLevelType w:val="multilevel"/>
    <w:tmpl w:val="65D55E18"/>
    <w:lvl w:ilvl="0" w:tentative="0">
      <w:start w:val="1"/>
      <w:numFmt w:val="decimal"/>
      <w:lvlText w:val="%1"/>
      <w:lvlJc w:val="left"/>
      <w:pPr>
        <w:ind w:left="705" w:hanging="485"/>
      </w:pPr>
      <w:rPr>
        <w:rFonts w:hint="default"/>
        <w:lang w:val="zh-CN" w:eastAsia="zh-CN" w:bidi="zh-CN"/>
      </w:rPr>
    </w:lvl>
    <w:lvl w:ilvl="1" w:tentative="0">
      <w:start w:val="1"/>
      <w:numFmt w:val="decimal"/>
      <w:lvlText w:val="%1-%2"/>
      <w:lvlJc w:val="left"/>
      <w:pPr>
        <w:ind w:left="705" w:hanging="485"/>
      </w:pPr>
      <w:rPr>
        <w:rFonts w:hint="default" w:ascii="宋体" w:hAnsi="宋体" w:eastAsia="宋体" w:cs="宋体"/>
        <w:b/>
        <w:bCs/>
        <w:spacing w:val="-1"/>
        <w:w w:val="99"/>
        <w:sz w:val="24"/>
        <w:szCs w:val="24"/>
        <w:lang w:val="zh-CN" w:eastAsia="zh-CN" w:bidi="zh-CN"/>
      </w:rPr>
    </w:lvl>
    <w:lvl w:ilvl="2" w:tentative="0">
      <w:start w:val="1"/>
      <w:numFmt w:val="decimal"/>
      <w:lvlText w:val="%3."/>
      <w:lvlJc w:val="left"/>
      <w:pPr>
        <w:ind w:left="220" w:hanging="241"/>
      </w:pPr>
      <w:rPr>
        <w:rFonts w:hint="eastAsia"/>
        <w:b w:val="0"/>
        <w:i w:val="0"/>
        <w:spacing w:val="0"/>
        <w:w w:val="100"/>
        <w:lang w:val="zh-CN" w:eastAsia="zh-CN" w:bidi="zh-CN"/>
      </w:rPr>
    </w:lvl>
    <w:lvl w:ilvl="3" w:tentative="0">
      <w:start w:val="0"/>
      <w:numFmt w:val="bullet"/>
      <w:lvlText w:val="•"/>
      <w:lvlJc w:val="left"/>
      <w:pPr>
        <w:ind w:left="2519" w:hanging="241"/>
      </w:pPr>
      <w:rPr>
        <w:rFonts w:hint="default"/>
        <w:lang w:val="zh-CN" w:eastAsia="zh-CN" w:bidi="zh-CN"/>
      </w:rPr>
    </w:lvl>
    <w:lvl w:ilvl="4" w:tentative="0">
      <w:start w:val="0"/>
      <w:numFmt w:val="bullet"/>
      <w:lvlText w:val="•"/>
      <w:lvlJc w:val="left"/>
      <w:pPr>
        <w:ind w:left="3428" w:hanging="241"/>
      </w:pPr>
      <w:rPr>
        <w:rFonts w:hint="default"/>
        <w:lang w:val="zh-CN" w:eastAsia="zh-CN" w:bidi="zh-CN"/>
      </w:rPr>
    </w:lvl>
    <w:lvl w:ilvl="5" w:tentative="0">
      <w:start w:val="0"/>
      <w:numFmt w:val="bullet"/>
      <w:lvlText w:val="•"/>
      <w:lvlJc w:val="left"/>
      <w:pPr>
        <w:ind w:left="4338" w:hanging="241"/>
      </w:pPr>
      <w:rPr>
        <w:rFonts w:hint="default"/>
        <w:lang w:val="zh-CN" w:eastAsia="zh-CN" w:bidi="zh-CN"/>
      </w:rPr>
    </w:lvl>
    <w:lvl w:ilvl="6" w:tentative="0">
      <w:start w:val="0"/>
      <w:numFmt w:val="bullet"/>
      <w:lvlText w:val="•"/>
      <w:lvlJc w:val="left"/>
      <w:pPr>
        <w:ind w:left="5248" w:hanging="241"/>
      </w:pPr>
      <w:rPr>
        <w:rFonts w:hint="default"/>
        <w:lang w:val="zh-CN" w:eastAsia="zh-CN" w:bidi="zh-CN"/>
      </w:rPr>
    </w:lvl>
    <w:lvl w:ilvl="7" w:tentative="0">
      <w:start w:val="0"/>
      <w:numFmt w:val="bullet"/>
      <w:lvlText w:val="•"/>
      <w:lvlJc w:val="left"/>
      <w:pPr>
        <w:ind w:left="6157" w:hanging="241"/>
      </w:pPr>
      <w:rPr>
        <w:rFonts w:hint="default"/>
        <w:lang w:val="zh-CN" w:eastAsia="zh-CN" w:bidi="zh-CN"/>
      </w:rPr>
    </w:lvl>
    <w:lvl w:ilvl="8" w:tentative="0">
      <w:start w:val="0"/>
      <w:numFmt w:val="bullet"/>
      <w:lvlText w:val="•"/>
      <w:lvlJc w:val="left"/>
      <w:pPr>
        <w:ind w:left="7067" w:hanging="241"/>
      </w:pPr>
      <w:rPr>
        <w:rFonts w:hint="default"/>
        <w:lang w:val="zh-CN" w:eastAsia="zh-CN" w:bidi="zh-CN"/>
      </w:rPr>
    </w:lvl>
  </w:abstractNum>
  <w:abstractNum w:abstractNumId="9">
    <w:nsid w:val="674162AD"/>
    <w:multiLevelType w:val="multilevel"/>
    <w:tmpl w:val="674162AD"/>
    <w:lvl w:ilvl="0" w:tentative="0">
      <w:start w:val="2"/>
      <w:numFmt w:val="decimal"/>
      <w:lvlText w:val="%1"/>
      <w:lvlJc w:val="left"/>
      <w:pPr>
        <w:ind w:left="1429" w:hanging="420"/>
      </w:pPr>
      <w:rPr>
        <w:rFonts w:hint="default"/>
        <w:lang w:val="zh-CN" w:eastAsia="zh-CN" w:bidi="zh-CN"/>
      </w:rPr>
    </w:lvl>
    <w:lvl w:ilvl="1" w:tentative="0">
      <w:start w:val="1"/>
      <w:numFmt w:val="decimal"/>
      <w:lvlText w:val="%1.%2"/>
      <w:lvlJc w:val="left"/>
      <w:pPr>
        <w:ind w:left="1429" w:hanging="420"/>
      </w:pPr>
      <w:rPr>
        <w:rFonts w:hint="default"/>
        <w:w w:val="100"/>
        <w:lang w:val="zh-CN" w:eastAsia="zh-CN" w:bidi="zh-CN"/>
      </w:rPr>
    </w:lvl>
    <w:lvl w:ilvl="2" w:tentative="0">
      <w:start w:val="1"/>
      <w:numFmt w:val="decimal"/>
      <w:lvlText w:val="%1.%2.%3"/>
      <w:lvlJc w:val="left"/>
      <w:pPr>
        <w:ind w:left="574" w:hanging="644"/>
      </w:pPr>
      <w:rPr>
        <w:rFonts w:hint="default" w:ascii="宋体" w:hAnsi="宋体" w:eastAsia="宋体" w:cs="宋体"/>
        <w:w w:val="100"/>
        <w:sz w:val="24"/>
        <w:szCs w:val="24"/>
        <w:lang w:val="zh-CN" w:eastAsia="zh-CN" w:bidi="zh-CN"/>
      </w:rPr>
    </w:lvl>
    <w:lvl w:ilvl="3" w:tentative="0">
      <w:start w:val="0"/>
      <w:numFmt w:val="bullet"/>
      <w:lvlText w:val="•"/>
      <w:lvlJc w:val="left"/>
      <w:pPr>
        <w:ind w:left="3199" w:hanging="644"/>
      </w:pPr>
      <w:rPr>
        <w:rFonts w:hint="default"/>
        <w:lang w:val="zh-CN" w:eastAsia="zh-CN" w:bidi="zh-CN"/>
      </w:rPr>
    </w:lvl>
    <w:lvl w:ilvl="4" w:tentative="0">
      <w:start w:val="0"/>
      <w:numFmt w:val="bullet"/>
      <w:lvlText w:val="•"/>
      <w:lvlJc w:val="left"/>
      <w:pPr>
        <w:ind w:left="4088" w:hanging="644"/>
      </w:pPr>
      <w:rPr>
        <w:rFonts w:hint="default"/>
        <w:lang w:val="zh-CN" w:eastAsia="zh-CN" w:bidi="zh-CN"/>
      </w:rPr>
    </w:lvl>
    <w:lvl w:ilvl="5" w:tentative="0">
      <w:start w:val="0"/>
      <w:numFmt w:val="bullet"/>
      <w:lvlText w:val="•"/>
      <w:lvlJc w:val="left"/>
      <w:pPr>
        <w:ind w:left="4978" w:hanging="644"/>
      </w:pPr>
      <w:rPr>
        <w:rFonts w:hint="default"/>
        <w:lang w:val="zh-CN" w:eastAsia="zh-CN" w:bidi="zh-CN"/>
      </w:rPr>
    </w:lvl>
    <w:lvl w:ilvl="6" w:tentative="0">
      <w:start w:val="0"/>
      <w:numFmt w:val="bullet"/>
      <w:lvlText w:val="•"/>
      <w:lvlJc w:val="left"/>
      <w:pPr>
        <w:ind w:left="5868" w:hanging="644"/>
      </w:pPr>
      <w:rPr>
        <w:rFonts w:hint="default"/>
        <w:lang w:val="zh-CN" w:eastAsia="zh-CN" w:bidi="zh-CN"/>
      </w:rPr>
    </w:lvl>
    <w:lvl w:ilvl="7" w:tentative="0">
      <w:start w:val="0"/>
      <w:numFmt w:val="bullet"/>
      <w:lvlText w:val="•"/>
      <w:lvlJc w:val="left"/>
      <w:pPr>
        <w:ind w:left="6757" w:hanging="644"/>
      </w:pPr>
      <w:rPr>
        <w:rFonts w:hint="default"/>
        <w:lang w:val="zh-CN" w:eastAsia="zh-CN" w:bidi="zh-CN"/>
      </w:rPr>
    </w:lvl>
    <w:lvl w:ilvl="8" w:tentative="0">
      <w:start w:val="0"/>
      <w:numFmt w:val="bullet"/>
      <w:lvlText w:val="•"/>
      <w:lvlJc w:val="left"/>
      <w:pPr>
        <w:ind w:left="7647" w:hanging="644"/>
      </w:pPr>
      <w:rPr>
        <w:rFonts w:hint="default"/>
        <w:lang w:val="zh-CN" w:eastAsia="zh-CN" w:bidi="zh-CN"/>
      </w:rPr>
    </w:lvl>
  </w:abstractNum>
  <w:abstractNum w:abstractNumId="10">
    <w:nsid w:val="73935C94"/>
    <w:multiLevelType w:val="singleLevel"/>
    <w:tmpl w:val="73935C94"/>
    <w:lvl w:ilvl="0" w:tentative="0">
      <w:start w:val="1"/>
      <w:numFmt w:val="decimal"/>
      <w:suff w:val="nothing"/>
      <w:lvlText w:val="%1、"/>
      <w:lvlJc w:val="left"/>
    </w:lvl>
  </w:abstractNum>
  <w:abstractNum w:abstractNumId="11">
    <w:nsid w:val="75A62672"/>
    <w:multiLevelType w:val="multilevel"/>
    <w:tmpl w:val="75A62672"/>
    <w:lvl w:ilvl="0" w:tentative="0">
      <w:start w:val="4"/>
      <w:numFmt w:val="decimal"/>
      <w:lvlText w:val="（%1）"/>
      <w:lvlJc w:val="left"/>
      <w:pPr>
        <w:ind w:left="108" w:hanging="615"/>
      </w:pPr>
      <w:rPr>
        <w:rFonts w:hint="default" w:ascii="宋体" w:hAnsi="宋体" w:eastAsia="宋体" w:cs="宋体"/>
        <w:spacing w:val="4"/>
        <w:w w:val="100"/>
        <w:sz w:val="22"/>
        <w:szCs w:val="22"/>
        <w:lang w:val="zh-CN" w:eastAsia="zh-CN" w:bidi="zh-CN"/>
      </w:rPr>
    </w:lvl>
    <w:lvl w:ilvl="1" w:tentative="0">
      <w:start w:val="0"/>
      <w:numFmt w:val="bullet"/>
      <w:lvlText w:val="•"/>
      <w:lvlJc w:val="left"/>
      <w:pPr>
        <w:ind w:left="635" w:hanging="615"/>
      </w:pPr>
      <w:rPr>
        <w:rFonts w:hint="default"/>
        <w:lang w:val="zh-CN" w:eastAsia="zh-CN" w:bidi="zh-CN"/>
      </w:rPr>
    </w:lvl>
    <w:lvl w:ilvl="2" w:tentative="0">
      <w:start w:val="0"/>
      <w:numFmt w:val="bullet"/>
      <w:lvlText w:val="•"/>
      <w:lvlJc w:val="left"/>
      <w:pPr>
        <w:ind w:left="1171" w:hanging="615"/>
      </w:pPr>
      <w:rPr>
        <w:rFonts w:hint="default"/>
        <w:lang w:val="zh-CN" w:eastAsia="zh-CN" w:bidi="zh-CN"/>
      </w:rPr>
    </w:lvl>
    <w:lvl w:ilvl="3" w:tentative="0">
      <w:start w:val="0"/>
      <w:numFmt w:val="bullet"/>
      <w:lvlText w:val="•"/>
      <w:lvlJc w:val="left"/>
      <w:pPr>
        <w:ind w:left="1707" w:hanging="615"/>
      </w:pPr>
      <w:rPr>
        <w:rFonts w:hint="default"/>
        <w:lang w:val="zh-CN" w:eastAsia="zh-CN" w:bidi="zh-CN"/>
      </w:rPr>
    </w:lvl>
    <w:lvl w:ilvl="4" w:tentative="0">
      <w:start w:val="0"/>
      <w:numFmt w:val="bullet"/>
      <w:lvlText w:val="•"/>
      <w:lvlJc w:val="left"/>
      <w:pPr>
        <w:ind w:left="2243" w:hanging="615"/>
      </w:pPr>
      <w:rPr>
        <w:rFonts w:hint="default"/>
        <w:lang w:val="zh-CN" w:eastAsia="zh-CN" w:bidi="zh-CN"/>
      </w:rPr>
    </w:lvl>
    <w:lvl w:ilvl="5" w:tentative="0">
      <w:start w:val="0"/>
      <w:numFmt w:val="bullet"/>
      <w:lvlText w:val="•"/>
      <w:lvlJc w:val="left"/>
      <w:pPr>
        <w:ind w:left="2779" w:hanging="615"/>
      </w:pPr>
      <w:rPr>
        <w:rFonts w:hint="default"/>
        <w:lang w:val="zh-CN" w:eastAsia="zh-CN" w:bidi="zh-CN"/>
      </w:rPr>
    </w:lvl>
    <w:lvl w:ilvl="6" w:tentative="0">
      <w:start w:val="0"/>
      <w:numFmt w:val="bullet"/>
      <w:lvlText w:val="•"/>
      <w:lvlJc w:val="left"/>
      <w:pPr>
        <w:ind w:left="3314" w:hanging="615"/>
      </w:pPr>
      <w:rPr>
        <w:rFonts w:hint="default"/>
        <w:lang w:val="zh-CN" w:eastAsia="zh-CN" w:bidi="zh-CN"/>
      </w:rPr>
    </w:lvl>
    <w:lvl w:ilvl="7" w:tentative="0">
      <w:start w:val="0"/>
      <w:numFmt w:val="bullet"/>
      <w:lvlText w:val="•"/>
      <w:lvlJc w:val="left"/>
      <w:pPr>
        <w:ind w:left="3850" w:hanging="615"/>
      </w:pPr>
      <w:rPr>
        <w:rFonts w:hint="default"/>
        <w:lang w:val="zh-CN" w:eastAsia="zh-CN" w:bidi="zh-CN"/>
      </w:rPr>
    </w:lvl>
    <w:lvl w:ilvl="8" w:tentative="0">
      <w:start w:val="0"/>
      <w:numFmt w:val="bullet"/>
      <w:lvlText w:val="•"/>
      <w:lvlJc w:val="left"/>
      <w:pPr>
        <w:ind w:left="4386" w:hanging="615"/>
      </w:pPr>
      <w:rPr>
        <w:rFonts w:hint="default"/>
        <w:lang w:val="zh-CN" w:eastAsia="zh-CN" w:bidi="zh-CN"/>
      </w:rPr>
    </w:lvl>
  </w:abstractNum>
  <w:num w:numId="1">
    <w:abstractNumId w:val="1"/>
  </w:num>
  <w:num w:numId="2">
    <w:abstractNumId w:val="0"/>
  </w:num>
  <w:num w:numId="3">
    <w:abstractNumId w:val="10"/>
  </w:num>
  <w:num w:numId="4">
    <w:abstractNumId w:val="3"/>
  </w:num>
  <w:num w:numId="5">
    <w:abstractNumId w:val="11"/>
  </w:num>
  <w:num w:numId="6">
    <w:abstractNumId w:val="5"/>
  </w:num>
  <w:num w:numId="7">
    <w:abstractNumId w:val="9"/>
  </w:num>
  <w:num w:numId="8">
    <w:abstractNumId w:val="7"/>
  </w:num>
  <w:num w:numId="9">
    <w:abstractNumId w:val="6"/>
  </w:num>
  <w:num w:numId="10">
    <w:abstractNumId w:val="4"/>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iMzE1MzM2YjI5OGVhZTkzYTgzMmMwYTY1MDQ2ZDYifQ=="/>
  </w:docVars>
  <w:rsids>
    <w:rsidRoot w:val="0BAB4AAC"/>
    <w:rsid w:val="00183FAC"/>
    <w:rsid w:val="003C468C"/>
    <w:rsid w:val="00645991"/>
    <w:rsid w:val="008553E5"/>
    <w:rsid w:val="00A805D8"/>
    <w:rsid w:val="011078C7"/>
    <w:rsid w:val="01175684"/>
    <w:rsid w:val="013A756B"/>
    <w:rsid w:val="014739DA"/>
    <w:rsid w:val="016C0FA1"/>
    <w:rsid w:val="02301DB7"/>
    <w:rsid w:val="02375F66"/>
    <w:rsid w:val="02551A35"/>
    <w:rsid w:val="02936A01"/>
    <w:rsid w:val="0295339B"/>
    <w:rsid w:val="02AB5AF9"/>
    <w:rsid w:val="02C266F3"/>
    <w:rsid w:val="02E34EA5"/>
    <w:rsid w:val="03122E89"/>
    <w:rsid w:val="033C0E47"/>
    <w:rsid w:val="033E071B"/>
    <w:rsid w:val="034D4E02"/>
    <w:rsid w:val="0376114C"/>
    <w:rsid w:val="03802AE2"/>
    <w:rsid w:val="039447DF"/>
    <w:rsid w:val="03993BA4"/>
    <w:rsid w:val="03C92305"/>
    <w:rsid w:val="043717BE"/>
    <w:rsid w:val="04594340"/>
    <w:rsid w:val="046917C8"/>
    <w:rsid w:val="046F1289"/>
    <w:rsid w:val="047563BF"/>
    <w:rsid w:val="04936845"/>
    <w:rsid w:val="04B03EEC"/>
    <w:rsid w:val="04B8274F"/>
    <w:rsid w:val="04BD1688"/>
    <w:rsid w:val="04E90B5B"/>
    <w:rsid w:val="04FF212C"/>
    <w:rsid w:val="051C683A"/>
    <w:rsid w:val="05212B27"/>
    <w:rsid w:val="055E2FB9"/>
    <w:rsid w:val="05654685"/>
    <w:rsid w:val="05B20F4D"/>
    <w:rsid w:val="06235F0D"/>
    <w:rsid w:val="06316315"/>
    <w:rsid w:val="06361B7E"/>
    <w:rsid w:val="06691F53"/>
    <w:rsid w:val="06760FB5"/>
    <w:rsid w:val="06A25465"/>
    <w:rsid w:val="06AF4B6D"/>
    <w:rsid w:val="06C23411"/>
    <w:rsid w:val="06ED391B"/>
    <w:rsid w:val="06EE4206"/>
    <w:rsid w:val="07070CE0"/>
    <w:rsid w:val="07282543"/>
    <w:rsid w:val="072E0AA7"/>
    <w:rsid w:val="07797F74"/>
    <w:rsid w:val="077F390C"/>
    <w:rsid w:val="07AD1A55"/>
    <w:rsid w:val="080471C0"/>
    <w:rsid w:val="08501053"/>
    <w:rsid w:val="085602B5"/>
    <w:rsid w:val="0895702F"/>
    <w:rsid w:val="089A6E44"/>
    <w:rsid w:val="08CA4CD7"/>
    <w:rsid w:val="08F63846"/>
    <w:rsid w:val="08FD4BD5"/>
    <w:rsid w:val="09063A89"/>
    <w:rsid w:val="09886B94"/>
    <w:rsid w:val="099472E7"/>
    <w:rsid w:val="09CB3443"/>
    <w:rsid w:val="09DB5AD3"/>
    <w:rsid w:val="09ED4C49"/>
    <w:rsid w:val="09F4422A"/>
    <w:rsid w:val="0A0244D1"/>
    <w:rsid w:val="0A0C1573"/>
    <w:rsid w:val="0A522CFE"/>
    <w:rsid w:val="0A5945A1"/>
    <w:rsid w:val="0A5A22CC"/>
    <w:rsid w:val="0A636CB9"/>
    <w:rsid w:val="0A761EBC"/>
    <w:rsid w:val="0AC05EBA"/>
    <w:rsid w:val="0AE67314"/>
    <w:rsid w:val="0B2E2D86"/>
    <w:rsid w:val="0B3A38E6"/>
    <w:rsid w:val="0B530FC8"/>
    <w:rsid w:val="0B792C38"/>
    <w:rsid w:val="0BAB4AAC"/>
    <w:rsid w:val="0BD0037E"/>
    <w:rsid w:val="0C032502"/>
    <w:rsid w:val="0C1D7CFA"/>
    <w:rsid w:val="0C234952"/>
    <w:rsid w:val="0C7B5426"/>
    <w:rsid w:val="0C833643"/>
    <w:rsid w:val="0C8353F1"/>
    <w:rsid w:val="0C8B79C9"/>
    <w:rsid w:val="0C9910B8"/>
    <w:rsid w:val="0CE45E02"/>
    <w:rsid w:val="0CF63E15"/>
    <w:rsid w:val="0CF90C31"/>
    <w:rsid w:val="0D09498F"/>
    <w:rsid w:val="0D205C25"/>
    <w:rsid w:val="0D2332ED"/>
    <w:rsid w:val="0D5F19BA"/>
    <w:rsid w:val="0D883FB7"/>
    <w:rsid w:val="0DA73361"/>
    <w:rsid w:val="0DBC7CA7"/>
    <w:rsid w:val="0DD75D23"/>
    <w:rsid w:val="0DDD6D83"/>
    <w:rsid w:val="0E03729D"/>
    <w:rsid w:val="0E5C239D"/>
    <w:rsid w:val="0E72396F"/>
    <w:rsid w:val="0E772D33"/>
    <w:rsid w:val="0E890693"/>
    <w:rsid w:val="0EAB634E"/>
    <w:rsid w:val="0ECA7307"/>
    <w:rsid w:val="0F3F1AA3"/>
    <w:rsid w:val="0FBA737B"/>
    <w:rsid w:val="0FC621C4"/>
    <w:rsid w:val="0FF826EB"/>
    <w:rsid w:val="10030D22"/>
    <w:rsid w:val="1030763E"/>
    <w:rsid w:val="105C1A0E"/>
    <w:rsid w:val="10665C76"/>
    <w:rsid w:val="107C2416"/>
    <w:rsid w:val="107C63BF"/>
    <w:rsid w:val="10A1053B"/>
    <w:rsid w:val="10A8726E"/>
    <w:rsid w:val="10D91B25"/>
    <w:rsid w:val="110C00AB"/>
    <w:rsid w:val="11BD2408"/>
    <w:rsid w:val="11CE35B2"/>
    <w:rsid w:val="11F363FF"/>
    <w:rsid w:val="11F97C6D"/>
    <w:rsid w:val="11FE2AA3"/>
    <w:rsid w:val="12437AFC"/>
    <w:rsid w:val="12657D99"/>
    <w:rsid w:val="128679E9"/>
    <w:rsid w:val="129C0FBA"/>
    <w:rsid w:val="12C04AA7"/>
    <w:rsid w:val="12E34F1A"/>
    <w:rsid w:val="13442D5B"/>
    <w:rsid w:val="13BD743A"/>
    <w:rsid w:val="13C37462"/>
    <w:rsid w:val="14371F82"/>
    <w:rsid w:val="144B5D54"/>
    <w:rsid w:val="14667AD2"/>
    <w:rsid w:val="147A17CF"/>
    <w:rsid w:val="14A8095C"/>
    <w:rsid w:val="14A930DA"/>
    <w:rsid w:val="14A979BF"/>
    <w:rsid w:val="14AF76CB"/>
    <w:rsid w:val="14F74BCE"/>
    <w:rsid w:val="15431BC1"/>
    <w:rsid w:val="15960E68"/>
    <w:rsid w:val="15B900D5"/>
    <w:rsid w:val="15C50828"/>
    <w:rsid w:val="15D13993"/>
    <w:rsid w:val="15DB629E"/>
    <w:rsid w:val="16967B09"/>
    <w:rsid w:val="16A80EDF"/>
    <w:rsid w:val="170A508C"/>
    <w:rsid w:val="17255A22"/>
    <w:rsid w:val="1752433D"/>
    <w:rsid w:val="176E7FBC"/>
    <w:rsid w:val="17824C23"/>
    <w:rsid w:val="17B773D3"/>
    <w:rsid w:val="18013B63"/>
    <w:rsid w:val="18476146"/>
    <w:rsid w:val="187C78C4"/>
    <w:rsid w:val="18DA636D"/>
    <w:rsid w:val="18E86D07"/>
    <w:rsid w:val="18EE0096"/>
    <w:rsid w:val="18F002B2"/>
    <w:rsid w:val="18FB26F7"/>
    <w:rsid w:val="190F698A"/>
    <w:rsid w:val="191C10A7"/>
    <w:rsid w:val="19630A84"/>
    <w:rsid w:val="199B6470"/>
    <w:rsid w:val="199D21E8"/>
    <w:rsid w:val="19AF178C"/>
    <w:rsid w:val="19BE7E40"/>
    <w:rsid w:val="1A0D4932"/>
    <w:rsid w:val="1A361CF4"/>
    <w:rsid w:val="1A3E6591"/>
    <w:rsid w:val="1A4F0571"/>
    <w:rsid w:val="1A575EC0"/>
    <w:rsid w:val="1AD54FB1"/>
    <w:rsid w:val="1ADE384F"/>
    <w:rsid w:val="1AE82C29"/>
    <w:rsid w:val="1B1738D4"/>
    <w:rsid w:val="1B1B33FF"/>
    <w:rsid w:val="1B2B07C0"/>
    <w:rsid w:val="1B59213E"/>
    <w:rsid w:val="1B6D3662"/>
    <w:rsid w:val="1B73060E"/>
    <w:rsid w:val="1B8278A4"/>
    <w:rsid w:val="1BBE1FA1"/>
    <w:rsid w:val="1BED0AD9"/>
    <w:rsid w:val="1BF46F59"/>
    <w:rsid w:val="1C330BE1"/>
    <w:rsid w:val="1C5C0D3B"/>
    <w:rsid w:val="1C980A44"/>
    <w:rsid w:val="1CD36F52"/>
    <w:rsid w:val="1CD777BF"/>
    <w:rsid w:val="1CED6FE2"/>
    <w:rsid w:val="1CFD525A"/>
    <w:rsid w:val="1D8611E5"/>
    <w:rsid w:val="1D883696"/>
    <w:rsid w:val="1DC1221D"/>
    <w:rsid w:val="1DD737EE"/>
    <w:rsid w:val="1E1E727E"/>
    <w:rsid w:val="1ED471AB"/>
    <w:rsid w:val="1EEF0594"/>
    <w:rsid w:val="1EF34658"/>
    <w:rsid w:val="1EF87812"/>
    <w:rsid w:val="1F016D75"/>
    <w:rsid w:val="1F061775"/>
    <w:rsid w:val="1F220A99"/>
    <w:rsid w:val="1F7A2683"/>
    <w:rsid w:val="1FA616CA"/>
    <w:rsid w:val="1FAA11BB"/>
    <w:rsid w:val="1FF31F4F"/>
    <w:rsid w:val="2000702C"/>
    <w:rsid w:val="20302FF1"/>
    <w:rsid w:val="20384A18"/>
    <w:rsid w:val="20B81AC3"/>
    <w:rsid w:val="20E34258"/>
    <w:rsid w:val="20E46614"/>
    <w:rsid w:val="210365E6"/>
    <w:rsid w:val="21615710"/>
    <w:rsid w:val="216655B5"/>
    <w:rsid w:val="21D67785"/>
    <w:rsid w:val="21F7620D"/>
    <w:rsid w:val="222A65E3"/>
    <w:rsid w:val="22474377"/>
    <w:rsid w:val="224C1D5E"/>
    <w:rsid w:val="22904147"/>
    <w:rsid w:val="22AA348E"/>
    <w:rsid w:val="22B365D8"/>
    <w:rsid w:val="22C02AA3"/>
    <w:rsid w:val="22C04D77"/>
    <w:rsid w:val="23046E34"/>
    <w:rsid w:val="23142212"/>
    <w:rsid w:val="233C2F6A"/>
    <w:rsid w:val="2351272A"/>
    <w:rsid w:val="23607DE2"/>
    <w:rsid w:val="23F9210B"/>
    <w:rsid w:val="245E2574"/>
    <w:rsid w:val="246851A0"/>
    <w:rsid w:val="248315A4"/>
    <w:rsid w:val="24D02008"/>
    <w:rsid w:val="25253091"/>
    <w:rsid w:val="254479BB"/>
    <w:rsid w:val="25562C84"/>
    <w:rsid w:val="258204E4"/>
    <w:rsid w:val="25A16BBC"/>
    <w:rsid w:val="25AC730F"/>
    <w:rsid w:val="25DD15EA"/>
    <w:rsid w:val="263D76B7"/>
    <w:rsid w:val="264E7B1E"/>
    <w:rsid w:val="26DE174A"/>
    <w:rsid w:val="26E15D4F"/>
    <w:rsid w:val="27190DDB"/>
    <w:rsid w:val="274353B2"/>
    <w:rsid w:val="27475541"/>
    <w:rsid w:val="2747574B"/>
    <w:rsid w:val="27632892"/>
    <w:rsid w:val="27CC3C98"/>
    <w:rsid w:val="27EB05C2"/>
    <w:rsid w:val="281237C5"/>
    <w:rsid w:val="284303FE"/>
    <w:rsid w:val="28696727"/>
    <w:rsid w:val="28902F18"/>
    <w:rsid w:val="289C5AAF"/>
    <w:rsid w:val="28DB0637"/>
    <w:rsid w:val="29B62EDD"/>
    <w:rsid w:val="29CF181E"/>
    <w:rsid w:val="29D97ADD"/>
    <w:rsid w:val="29E96D83"/>
    <w:rsid w:val="29EC790E"/>
    <w:rsid w:val="29F23E8A"/>
    <w:rsid w:val="2A0B4F4C"/>
    <w:rsid w:val="2A345170"/>
    <w:rsid w:val="2A373686"/>
    <w:rsid w:val="2A64045E"/>
    <w:rsid w:val="2A756869"/>
    <w:rsid w:val="2A793EFD"/>
    <w:rsid w:val="2AA44A58"/>
    <w:rsid w:val="2B10740F"/>
    <w:rsid w:val="2B405875"/>
    <w:rsid w:val="2B45448D"/>
    <w:rsid w:val="2B546F3A"/>
    <w:rsid w:val="2B6A607C"/>
    <w:rsid w:val="2B876047"/>
    <w:rsid w:val="2B8C6AB4"/>
    <w:rsid w:val="2BAB75E6"/>
    <w:rsid w:val="2BCE6231"/>
    <w:rsid w:val="2C09185D"/>
    <w:rsid w:val="2C1900EC"/>
    <w:rsid w:val="2C483FF0"/>
    <w:rsid w:val="2C8032B1"/>
    <w:rsid w:val="2CAA6A45"/>
    <w:rsid w:val="2D297E19"/>
    <w:rsid w:val="2D32459D"/>
    <w:rsid w:val="2D355E3C"/>
    <w:rsid w:val="2D45112A"/>
    <w:rsid w:val="2D89698A"/>
    <w:rsid w:val="2DA01E16"/>
    <w:rsid w:val="2DB25B57"/>
    <w:rsid w:val="2DBD030B"/>
    <w:rsid w:val="2E156399"/>
    <w:rsid w:val="2E33681F"/>
    <w:rsid w:val="2E5D564A"/>
    <w:rsid w:val="2E8C5F2F"/>
    <w:rsid w:val="2ED73029"/>
    <w:rsid w:val="2EE01CE1"/>
    <w:rsid w:val="2F2E6FE6"/>
    <w:rsid w:val="2F324CFE"/>
    <w:rsid w:val="2F7075FF"/>
    <w:rsid w:val="2F7C4CCA"/>
    <w:rsid w:val="2F827A5E"/>
    <w:rsid w:val="2FBD515A"/>
    <w:rsid w:val="2FE1152C"/>
    <w:rsid w:val="2FEA73B1"/>
    <w:rsid w:val="30563281"/>
    <w:rsid w:val="30597228"/>
    <w:rsid w:val="306E6C84"/>
    <w:rsid w:val="307C724E"/>
    <w:rsid w:val="30937A49"/>
    <w:rsid w:val="30D72C84"/>
    <w:rsid w:val="30F005C1"/>
    <w:rsid w:val="30F46739"/>
    <w:rsid w:val="30F93D50"/>
    <w:rsid w:val="310B6B3A"/>
    <w:rsid w:val="311C359A"/>
    <w:rsid w:val="316C7580"/>
    <w:rsid w:val="31934B53"/>
    <w:rsid w:val="31BE28A4"/>
    <w:rsid w:val="31C205E6"/>
    <w:rsid w:val="31EF0CAF"/>
    <w:rsid w:val="31F476C7"/>
    <w:rsid w:val="320A2295"/>
    <w:rsid w:val="32382656"/>
    <w:rsid w:val="3284589B"/>
    <w:rsid w:val="32911D66"/>
    <w:rsid w:val="32937663"/>
    <w:rsid w:val="32CD7638"/>
    <w:rsid w:val="32DD5C7B"/>
    <w:rsid w:val="32F02A1B"/>
    <w:rsid w:val="332967FC"/>
    <w:rsid w:val="33516AD7"/>
    <w:rsid w:val="337551E4"/>
    <w:rsid w:val="337D2302"/>
    <w:rsid w:val="33DF6CE3"/>
    <w:rsid w:val="33EC273C"/>
    <w:rsid w:val="348B7933"/>
    <w:rsid w:val="349F69BC"/>
    <w:rsid w:val="34BF2BBB"/>
    <w:rsid w:val="3553576C"/>
    <w:rsid w:val="35761F1D"/>
    <w:rsid w:val="357A11D7"/>
    <w:rsid w:val="35D00DF7"/>
    <w:rsid w:val="36271BF2"/>
    <w:rsid w:val="36321AB2"/>
    <w:rsid w:val="36415851"/>
    <w:rsid w:val="364517E5"/>
    <w:rsid w:val="367927C3"/>
    <w:rsid w:val="36985DB9"/>
    <w:rsid w:val="369D517D"/>
    <w:rsid w:val="36A52284"/>
    <w:rsid w:val="36AC306F"/>
    <w:rsid w:val="36CF7301"/>
    <w:rsid w:val="37751C56"/>
    <w:rsid w:val="37AE5168"/>
    <w:rsid w:val="37D3737C"/>
    <w:rsid w:val="37E666B0"/>
    <w:rsid w:val="37EB1E96"/>
    <w:rsid w:val="38673C95"/>
    <w:rsid w:val="386B4E07"/>
    <w:rsid w:val="386E7259"/>
    <w:rsid w:val="38787C50"/>
    <w:rsid w:val="3879635C"/>
    <w:rsid w:val="38C60702"/>
    <w:rsid w:val="38DF7CCF"/>
    <w:rsid w:val="38E61A13"/>
    <w:rsid w:val="38ED3A6E"/>
    <w:rsid w:val="39096AFA"/>
    <w:rsid w:val="39262192"/>
    <w:rsid w:val="392E6561"/>
    <w:rsid w:val="393B45A6"/>
    <w:rsid w:val="398D772B"/>
    <w:rsid w:val="399C4FB4"/>
    <w:rsid w:val="39C87740"/>
    <w:rsid w:val="3A0A231E"/>
    <w:rsid w:val="3A4A561C"/>
    <w:rsid w:val="3A602942"/>
    <w:rsid w:val="3AAE6E84"/>
    <w:rsid w:val="3AD13648"/>
    <w:rsid w:val="3AF85078"/>
    <w:rsid w:val="3B17133D"/>
    <w:rsid w:val="3B183024"/>
    <w:rsid w:val="3B340D01"/>
    <w:rsid w:val="3B602C1D"/>
    <w:rsid w:val="3B750477"/>
    <w:rsid w:val="3BAC12E2"/>
    <w:rsid w:val="3C460065"/>
    <w:rsid w:val="3C59627F"/>
    <w:rsid w:val="3C6C19EE"/>
    <w:rsid w:val="3C9708C1"/>
    <w:rsid w:val="3CA37533"/>
    <w:rsid w:val="3CC01BC6"/>
    <w:rsid w:val="3CF01087"/>
    <w:rsid w:val="3CF61F54"/>
    <w:rsid w:val="3D0A1093"/>
    <w:rsid w:val="3D163594"/>
    <w:rsid w:val="3D480C2D"/>
    <w:rsid w:val="3D567DE7"/>
    <w:rsid w:val="3DA31220"/>
    <w:rsid w:val="3DB80AEF"/>
    <w:rsid w:val="3DD516A1"/>
    <w:rsid w:val="3DF00289"/>
    <w:rsid w:val="3E10092B"/>
    <w:rsid w:val="3EB2553E"/>
    <w:rsid w:val="3ED40DC0"/>
    <w:rsid w:val="3EEC0862"/>
    <w:rsid w:val="3EF20030"/>
    <w:rsid w:val="3F5815BE"/>
    <w:rsid w:val="3F7C0C92"/>
    <w:rsid w:val="3FA532F5"/>
    <w:rsid w:val="3FAC7296"/>
    <w:rsid w:val="3FBE6A6F"/>
    <w:rsid w:val="3FBF7E58"/>
    <w:rsid w:val="3FDF2363"/>
    <w:rsid w:val="401E3151"/>
    <w:rsid w:val="405638A2"/>
    <w:rsid w:val="40E13EB9"/>
    <w:rsid w:val="40F4238B"/>
    <w:rsid w:val="412D5350"/>
    <w:rsid w:val="41DF2AEE"/>
    <w:rsid w:val="4205007B"/>
    <w:rsid w:val="42076050"/>
    <w:rsid w:val="4226071D"/>
    <w:rsid w:val="424C48FF"/>
    <w:rsid w:val="42C02EB8"/>
    <w:rsid w:val="42E83C24"/>
    <w:rsid w:val="42F44377"/>
    <w:rsid w:val="43210EE4"/>
    <w:rsid w:val="43244531"/>
    <w:rsid w:val="43331B38"/>
    <w:rsid w:val="43405CE2"/>
    <w:rsid w:val="43AC6A00"/>
    <w:rsid w:val="43BD6E5F"/>
    <w:rsid w:val="43C33D49"/>
    <w:rsid w:val="43D070DC"/>
    <w:rsid w:val="44184095"/>
    <w:rsid w:val="447C2876"/>
    <w:rsid w:val="44884324"/>
    <w:rsid w:val="448B2AB9"/>
    <w:rsid w:val="44915BF6"/>
    <w:rsid w:val="4496320C"/>
    <w:rsid w:val="449852EC"/>
    <w:rsid w:val="44A24868"/>
    <w:rsid w:val="44BC242A"/>
    <w:rsid w:val="44C05CE2"/>
    <w:rsid w:val="45012D7B"/>
    <w:rsid w:val="4517434D"/>
    <w:rsid w:val="452C26C6"/>
    <w:rsid w:val="45476580"/>
    <w:rsid w:val="4548374C"/>
    <w:rsid w:val="456F0E24"/>
    <w:rsid w:val="459E05CA"/>
    <w:rsid w:val="45B61DB8"/>
    <w:rsid w:val="45C663D7"/>
    <w:rsid w:val="45FF31B2"/>
    <w:rsid w:val="46420213"/>
    <w:rsid w:val="464253F9"/>
    <w:rsid w:val="46492C2C"/>
    <w:rsid w:val="46902609"/>
    <w:rsid w:val="46CB53EF"/>
    <w:rsid w:val="46D87B0C"/>
    <w:rsid w:val="47370CD6"/>
    <w:rsid w:val="47596E9F"/>
    <w:rsid w:val="475C2070"/>
    <w:rsid w:val="4774130B"/>
    <w:rsid w:val="47EF64DD"/>
    <w:rsid w:val="47FA0528"/>
    <w:rsid w:val="480C2163"/>
    <w:rsid w:val="483056CA"/>
    <w:rsid w:val="4832158A"/>
    <w:rsid w:val="48335942"/>
    <w:rsid w:val="48512C03"/>
    <w:rsid w:val="48582E96"/>
    <w:rsid w:val="48A92008"/>
    <w:rsid w:val="48F0738F"/>
    <w:rsid w:val="495F3C23"/>
    <w:rsid w:val="497D4FCC"/>
    <w:rsid w:val="498D1081"/>
    <w:rsid w:val="49E2286F"/>
    <w:rsid w:val="4A111CB3"/>
    <w:rsid w:val="4A4E52EF"/>
    <w:rsid w:val="4A5C711A"/>
    <w:rsid w:val="4A5E70BA"/>
    <w:rsid w:val="4A895CED"/>
    <w:rsid w:val="4AA248FE"/>
    <w:rsid w:val="4AAA7A11"/>
    <w:rsid w:val="4B25440E"/>
    <w:rsid w:val="4B885FA4"/>
    <w:rsid w:val="4BBC17AA"/>
    <w:rsid w:val="4BCD1C09"/>
    <w:rsid w:val="4C0D43FF"/>
    <w:rsid w:val="4C2A4D22"/>
    <w:rsid w:val="4C494353"/>
    <w:rsid w:val="4C5145E8"/>
    <w:rsid w:val="4C5266FE"/>
    <w:rsid w:val="4C5472E9"/>
    <w:rsid w:val="4C7D687F"/>
    <w:rsid w:val="4C975D73"/>
    <w:rsid w:val="4CA50490"/>
    <w:rsid w:val="4CC34DBA"/>
    <w:rsid w:val="4D275349"/>
    <w:rsid w:val="4D572760"/>
    <w:rsid w:val="4D875DE8"/>
    <w:rsid w:val="4DB91727"/>
    <w:rsid w:val="4DBF44B5"/>
    <w:rsid w:val="4DEB78FF"/>
    <w:rsid w:val="4E4446C6"/>
    <w:rsid w:val="4E573A0C"/>
    <w:rsid w:val="4E8D742E"/>
    <w:rsid w:val="4F0A0D01"/>
    <w:rsid w:val="4F0E4A13"/>
    <w:rsid w:val="4F191EA6"/>
    <w:rsid w:val="4F6F20D3"/>
    <w:rsid w:val="4F700212"/>
    <w:rsid w:val="4FC13833"/>
    <w:rsid w:val="4FE92D8A"/>
    <w:rsid w:val="504D3319"/>
    <w:rsid w:val="50581FC2"/>
    <w:rsid w:val="5066262C"/>
    <w:rsid w:val="50852AB2"/>
    <w:rsid w:val="508A2F90"/>
    <w:rsid w:val="510E2E31"/>
    <w:rsid w:val="511C5F85"/>
    <w:rsid w:val="517A013D"/>
    <w:rsid w:val="51870AAC"/>
    <w:rsid w:val="51A27EE5"/>
    <w:rsid w:val="51A52CE0"/>
    <w:rsid w:val="51AC2C51"/>
    <w:rsid w:val="51D51818"/>
    <w:rsid w:val="51F223CA"/>
    <w:rsid w:val="520D51BF"/>
    <w:rsid w:val="52102850"/>
    <w:rsid w:val="52173BDE"/>
    <w:rsid w:val="52742DDF"/>
    <w:rsid w:val="528079D5"/>
    <w:rsid w:val="528B637A"/>
    <w:rsid w:val="528F7C7D"/>
    <w:rsid w:val="52F67C97"/>
    <w:rsid w:val="530F5750"/>
    <w:rsid w:val="5339779C"/>
    <w:rsid w:val="53424C8B"/>
    <w:rsid w:val="5394125E"/>
    <w:rsid w:val="53EA39CD"/>
    <w:rsid w:val="53FA7313"/>
    <w:rsid w:val="53FC752F"/>
    <w:rsid w:val="540C7047"/>
    <w:rsid w:val="54866DF9"/>
    <w:rsid w:val="549534E0"/>
    <w:rsid w:val="54C33BA9"/>
    <w:rsid w:val="54D23AB2"/>
    <w:rsid w:val="54EF499E"/>
    <w:rsid w:val="554B0625"/>
    <w:rsid w:val="554F18E1"/>
    <w:rsid w:val="55585881"/>
    <w:rsid w:val="5572737D"/>
    <w:rsid w:val="56310FE7"/>
    <w:rsid w:val="56513437"/>
    <w:rsid w:val="56910587"/>
    <w:rsid w:val="569E3DA0"/>
    <w:rsid w:val="56AD2D63"/>
    <w:rsid w:val="56B5345E"/>
    <w:rsid w:val="56C44B23"/>
    <w:rsid w:val="56CA7EA4"/>
    <w:rsid w:val="5797131D"/>
    <w:rsid w:val="57A44166"/>
    <w:rsid w:val="57AC0713"/>
    <w:rsid w:val="580E7831"/>
    <w:rsid w:val="58122FAA"/>
    <w:rsid w:val="584E40D2"/>
    <w:rsid w:val="584E7C2E"/>
    <w:rsid w:val="585969EE"/>
    <w:rsid w:val="586631C9"/>
    <w:rsid w:val="59576FB6"/>
    <w:rsid w:val="596E56EB"/>
    <w:rsid w:val="599256E8"/>
    <w:rsid w:val="59C56616"/>
    <w:rsid w:val="59DE1485"/>
    <w:rsid w:val="59E41282"/>
    <w:rsid w:val="5A2A6479"/>
    <w:rsid w:val="5A5654C0"/>
    <w:rsid w:val="5A5E6139"/>
    <w:rsid w:val="5AA219DE"/>
    <w:rsid w:val="5AB539DE"/>
    <w:rsid w:val="5B265E74"/>
    <w:rsid w:val="5B5C6B06"/>
    <w:rsid w:val="5B61236E"/>
    <w:rsid w:val="5B871DD5"/>
    <w:rsid w:val="5BAC281B"/>
    <w:rsid w:val="5BD743DE"/>
    <w:rsid w:val="5BDE739B"/>
    <w:rsid w:val="5BE01866"/>
    <w:rsid w:val="5BE05C87"/>
    <w:rsid w:val="5BF907F8"/>
    <w:rsid w:val="5BFC5BF3"/>
    <w:rsid w:val="5C11743B"/>
    <w:rsid w:val="5C3655A9"/>
    <w:rsid w:val="5C4111B4"/>
    <w:rsid w:val="5C480E38"/>
    <w:rsid w:val="5C5D483C"/>
    <w:rsid w:val="5C910A31"/>
    <w:rsid w:val="5C91458D"/>
    <w:rsid w:val="5C983018"/>
    <w:rsid w:val="5CA44C95"/>
    <w:rsid w:val="5CAE5386"/>
    <w:rsid w:val="5CBB0E4F"/>
    <w:rsid w:val="5CCC1A69"/>
    <w:rsid w:val="5CD9426A"/>
    <w:rsid w:val="5CE2128D"/>
    <w:rsid w:val="5D1A27D4"/>
    <w:rsid w:val="5D2D001C"/>
    <w:rsid w:val="5D3E7C0B"/>
    <w:rsid w:val="5D641CA2"/>
    <w:rsid w:val="5D700646"/>
    <w:rsid w:val="5D96653A"/>
    <w:rsid w:val="5D972077"/>
    <w:rsid w:val="5DC56BE4"/>
    <w:rsid w:val="5DF11F5E"/>
    <w:rsid w:val="5DF70D68"/>
    <w:rsid w:val="5E035F4A"/>
    <w:rsid w:val="5E135BA1"/>
    <w:rsid w:val="5E1B79E6"/>
    <w:rsid w:val="5E745A6F"/>
    <w:rsid w:val="5EB05E66"/>
    <w:rsid w:val="5EED5FCE"/>
    <w:rsid w:val="5EFC4888"/>
    <w:rsid w:val="5F16521D"/>
    <w:rsid w:val="5F2E6A0B"/>
    <w:rsid w:val="5F346F7D"/>
    <w:rsid w:val="5F37766E"/>
    <w:rsid w:val="5F3A53B0"/>
    <w:rsid w:val="5F665D1D"/>
    <w:rsid w:val="5F915BF6"/>
    <w:rsid w:val="5FD27242"/>
    <w:rsid w:val="5FE768E3"/>
    <w:rsid w:val="5FF217E7"/>
    <w:rsid w:val="600073C6"/>
    <w:rsid w:val="60397FF9"/>
    <w:rsid w:val="60BE791B"/>
    <w:rsid w:val="612C3115"/>
    <w:rsid w:val="614813F8"/>
    <w:rsid w:val="6177714C"/>
    <w:rsid w:val="619336A2"/>
    <w:rsid w:val="61CA759D"/>
    <w:rsid w:val="61EA1B28"/>
    <w:rsid w:val="621A446B"/>
    <w:rsid w:val="62742987"/>
    <w:rsid w:val="627E7B2C"/>
    <w:rsid w:val="629C046D"/>
    <w:rsid w:val="62A113B2"/>
    <w:rsid w:val="62B46127"/>
    <w:rsid w:val="62BC25B7"/>
    <w:rsid w:val="62D363B3"/>
    <w:rsid w:val="62D545FB"/>
    <w:rsid w:val="62DA4EE0"/>
    <w:rsid w:val="62E21FE6"/>
    <w:rsid w:val="639C03E7"/>
    <w:rsid w:val="63AF66A2"/>
    <w:rsid w:val="63D95197"/>
    <w:rsid w:val="63E77102"/>
    <w:rsid w:val="64216B3E"/>
    <w:rsid w:val="64713622"/>
    <w:rsid w:val="64747D3B"/>
    <w:rsid w:val="64836DAF"/>
    <w:rsid w:val="64852C29"/>
    <w:rsid w:val="64925346"/>
    <w:rsid w:val="64B17EC2"/>
    <w:rsid w:val="64DE2339"/>
    <w:rsid w:val="652E1513"/>
    <w:rsid w:val="654E65BF"/>
    <w:rsid w:val="654F4FE5"/>
    <w:rsid w:val="655820EC"/>
    <w:rsid w:val="658C7D50"/>
    <w:rsid w:val="659A2704"/>
    <w:rsid w:val="65CD4C06"/>
    <w:rsid w:val="65D36D8C"/>
    <w:rsid w:val="65DF5E51"/>
    <w:rsid w:val="65E22A0A"/>
    <w:rsid w:val="66115D36"/>
    <w:rsid w:val="665F56FC"/>
    <w:rsid w:val="66700AEF"/>
    <w:rsid w:val="66794933"/>
    <w:rsid w:val="66F2011E"/>
    <w:rsid w:val="671E7357"/>
    <w:rsid w:val="67580AC9"/>
    <w:rsid w:val="67682C85"/>
    <w:rsid w:val="676F7BC1"/>
    <w:rsid w:val="67723605"/>
    <w:rsid w:val="6773320D"/>
    <w:rsid w:val="67EB5499"/>
    <w:rsid w:val="67ED14E8"/>
    <w:rsid w:val="67FB7881"/>
    <w:rsid w:val="67FD51CC"/>
    <w:rsid w:val="680911B4"/>
    <w:rsid w:val="680B78E9"/>
    <w:rsid w:val="683F0AC1"/>
    <w:rsid w:val="684B5F38"/>
    <w:rsid w:val="684D7F02"/>
    <w:rsid w:val="68757459"/>
    <w:rsid w:val="68823DC4"/>
    <w:rsid w:val="688B27D8"/>
    <w:rsid w:val="68903A32"/>
    <w:rsid w:val="68C61A62"/>
    <w:rsid w:val="68F22857"/>
    <w:rsid w:val="6935090A"/>
    <w:rsid w:val="69362744"/>
    <w:rsid w:val="69A973BA"/>
    <w:rsid w:val="69CE287B"/>
    <w:rsid w:val="69D65CD5"/>
    <w:rsid w:val="69D72179"/>
    <w:rsid w:val="69DA7573"/>
    <w:rsid w:val="6A151116"/>
    <w:rsid w:val="6A1528E0"/>
    <w:rsid w:val="6A786D8C"/>
    <w:rsid w:val="6AAD2EDA"/>
    <w:rsid w:val="6AB2229E"/>
    <w:rsid w:val="6AED19D9"/>
    <w:rsid w:val="6B2F0983"/>
    <w:rsid w:val="6B95409A"/>
    <w:rsid w:val="6BDC1340"/>
    <w:rsid w:val="6BDC307A"/>
    <w:rsid w:val="6C156F89"/>
    <w:rsid w:val="6C351131"/>
    <w:rsid w:val="6C736977"/>
    <w:rsid w:val="6D0F6C94"/>
    <w:rsid w:val="6D2F7BD6"/>
    <w:rsid w:val="6D592EA5"/>
    <w:rsid w:val="6D5B0539"/>
    <w:rsid w:val="6D617028"/>
    <w:rsid w:val="6D8223FC"/>
    <w:rsid w:val="6DEA61F3"/>
    <w:rsid w:val="6E0A6EA2"/>
    <w:rsid w:val="6E31797E"/>
    <w:rsid w:val="6E4167E4"/>
    <w:rsid w:val="6EBC3E7A"/>
    <w:rsid w:val="6EFE46BB"/>
    <w:rsid w:val="6F305E87"/>
    <w:rsid w:val="6F3C482C"/>
    <w:rsid w:val="6F631DB9"/>
    <w:rsid w:val="6F8D32DA"/>
    <w:rsid w:val="6FAA1F65"/>
    <w:rsid w:val="6FBE673B"/>
    <w:rsid w:val="6FE268E3"/>
    <w:rsid w:val="6FF1116C"/>
    <w:rsid w:val="70463172"/>
    <w:rsid w:val="704F058F"/>
    <w:rsid w:val="705D0EFE"/>
    <w:rsid w:val="708F1F18"/>
    <w:rsid w:val="70AB5551"/>
    <w:rsid w:val="70B25A1B"/>
    <w:rsid w:val="70B76860"/>
    <w:rsid w:val="70C33948"/>
    <w:rsid w:val="70EE5D63"/>
    <w:rsid w:val="70F71AC9"/>
    <w:rsid w:val="713779A1"/>
    <w:rsid w:val="71397DA1"/>
    <w:rsid w:val="715A71EC"/>
    <w:rsid w:val="715B3690"/>
    <w:rsid w:val="719018BC"/>
    <w:rsid w:val="71997EA8"/>
    <w:rsid w:val="719A0F60"/>
    <w:rsid w:val="71B1539A"/>
    <w:rsid w:val="71C3423C"/>
    <w:rsid w:val="71C546DD"/>
    <w:rsid w:val="71D27F58"/>
    <w:rsid w:val="71D405D2"/>
    <w:rsid w:val="71EB1772"/>
    <w:rsid w:val="72114AAA"/>
    <w:rsid w:val="721B4BCD"/>
    <w:rsid w:val="722D066E"/>
    <w:rsid w:val="722D6C80"/>
    <w:rsid w:val="72AD51BE"/>
    <w:rsid w:val="731C36A6"/>
    <w:rsid w:val="73221F8B"/>
    <w:rsid w:val="73247AB1"/>
    <w:rsid w:val="7377109E"/>
    <w:rsid w:val="738D21B8"/>
    <w:rsid w:val="739546FC"/>
    <w:rsid w:val="73B01345"/>
    <w:rsid w:val="73D03795"/>
    <w:rsid w:val="73DB0AB8"/>
    <w:rsid w:val="73E2443A"/>
    <w:rsid w:val="73E966BC"/>
    <w:rsid w:val="740F250F"/>
    <w:rsid w:val="745D327B"/>
    <w:rsid w:val="745D375A"/>
    <w:rsid w:val="747B5C1E"/>
    <w:rsid w:val="748F6929"/>
    <w:rsid w:val="749A3C5A"/>
    <w:rsid w:val="74CE73AE"/>
    <w:rsid w:val="74D90B88"/>
    <w:rsid w:val="757F1917"/>
    <w:rsid w:val="75E31EA6"/>
    <w:rsid w:val="75EB3305"/>
    <w:rsid w:val="75EF084A"/>
    <w:rsid w:val="763712A2"/>
    <w:rsid w:val="763905EF"/>
    <w:rsid w:val="765D3A06"/>
    <w:rsid w:val="76746FA2"/>
    <w:rsid w:val="767961D1"/>
    <w:rsid w:val="767E4C52"/>
    <w:rsid w:val="76B86339"/>
    <w:rsid w:val="76C80F10"/>
    <w:rsid w:val="772260B1"/>
    <w:rsid w:val="77264B26"/>
    <w:rsid w:val="772C162A"/>
    <w:rsid w:val="775766A7"/>
    <w:rsid w:val="77D870BC"/>
    <w:rsid w:val="77E178BC"/>
    <w:rsid w:val="77ED2B68"/>
    <w:rsid w:val="77EE6DD5"/>
    <w:rsid w:val="78054355"/>
    <w:rsid w:val="78210A63"/>
    <w:rsid w:val="787212BF"/>
    <w:rsid w:val="787831AD"/>
    <w:rsid w:val="78866B18"/>
    <w:rsid w:val="788B412F"/>
    <w:rsid w:val="78AF606F"/>
    <w:rsid w:val="78E52CDF"/>
    <w:rsid w:val="79086E76"/>
    <w:rsid w:val="790A3D76"/>
    <w:rsid w:val="79174BD7"/>
    <w:rsid w:val="79341019"/>
    <w:rsid w:val="79747548"/>
    <w:rsid w:val="79A4194C"/>
    <w:rsid w:val="79D51B05"/>
    <w:rsid w:val="79E166FC"/>
    <w:rsid w:val="79E32474"/>
    <w:rsid w:val="7A081EDB"/>
    <w:rsid w:val="7A401791"/>
    <w:rsid w:val="7A8D0632"/>
    <w:rsid w:val="7AA65250"/>
    <w:rsid w:val="7ADE6007"/>
    <w:rsid w:val="7B3A2568"/>
    <w:rsid w:val="7BAB15AA"/>
    <w:rsid w:val="7BB21E33"/>
    <w:rsid w:val="7BB3231A"/>
    <w:rsid w:val="7C603751"/>
    <w:rsid w:val="7C896BD7"/>
    <w:rsid w:val="7CA96B4F"/>
    <w:rsid w:val="7CCE35F1"/>
    <w:rsid w:val="7CD50BD5"/>
    <w:rsid w:val="7D407E31"/>
    <w:rsid w:val="7E1448F8"/>
    <w:rsid w:val="7E3F60E7"/>
    <w:rsid w:val="7E482649"/>
    <w:rsid w:val="7E575E40"/>
    <w:rsid w:val="7E6D67B0"/>
    <w:rsid w:val="7EF11903"/>
    <w:rsid w:val="7F3D2627"/>
    <w:rsid w:val="7F547E3F"/>
    <w:rsid w:val="7F9E2999"/>
    <w:rsid w:val="7FAA665B"/>
    <w:rsid w:val="7FAF1490"/>
    <w:rsid w:val="7FC92E17"/>
    <w:rsid w:val="7FE02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semiHidden="0" w:name="heading 2"/>
    <w:lsdException w:qFormat="1" w:uiPriority="1" w:semiHidden="0" w:name="heading 3"/>
    <w:lsdException w:qFormat="1" w:uiPriority="1"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6"/>
    <w:qFormat/>
    <w:uiPriority w:val="1"/>
    <w:pPr>
      <w:keepNext/>
      <w:keepLines/>
      <w:spacing w:before="340" w:after="330" w:line="576" w:lineRule="auto"/>
      <w:outlineLvl w:val="0"/>
    </w:pPr>
    <w:rPr>
      <w:b/>
      <w:bCs/>
      <w:kern w:val="44"/>
      <w:sz w:val="44"/>
      <w:szCs w:val="44"/>
    </w:rPr>
  </w:style>
  <w:style w:type="paragraph" w:styleId="5">
    <w:name w:val="heading 2"/>
    <w:basedOn w:val="1"/>
    <w:next w:val="1"/>
    <w:unhideWhenUsed/>
    <w:qFormat/>
    <w:uiPriority w:val="1"/>
    <w:pPr>
      <w:keepNext/>
      <w:keepLines/>
      <w:spacing w:before="260" w:after="260" w:line="412" w:lineRule="auto"/>
      <w:outlineLvl w:val="1"/>
    </w:pPr>
    <w:rPr>
      <w:rFonts w:ascii="Arial" w:hAnsi="Arial" w:eastAsia="黑体" w:cs="Arial"/>
      <w:b/>
      <w:bCs/>
      <w:sz w:val="32"/>
      <w:szCs w:val="32"/>
    </w:rPr>
  </w:style>
  <w:style w:type="paragraph" w:styleId="6">
    <w:name w:val="heading 3"/>
    <w:basedOn w:val="1"/>
    <w:next w:val="1"/>
    <w:unhideWhenUsed/>
    <w:qFormat/>
    <w:uiPriority w:val="1"/>
    <w:pPr>
      <w:keepNext/>
      <w:keepLines/>
      <w:spacing w:before="260" w:after="260" w:line="416" w:lineRule="auto"/>
      <w:outlineLvl w:val="2"/>
    </w:pPr>
    <w:rPr>
      <w:b/>
      <w:bCs/>
      <w:sz w:val="32"/>
      <w:szCs w:val="32"/>
    </w:rPr>
  </w:style>
  <w:style w:type="paragraph" w:styleId="7">
    <w:name w:val="heading 4"/>
    <w:basedOn w:val="1"/>
    <w:next w:val="1"/>
    <w:unhideWhenUsed/>
    <w:qFormat/>
    <w:uiPriority w:val="1"/>
    <w:pPr>
      <w:keepNext/>
      <w:keepLines/>
      <w:spacing w:before="280" w:after="290" w:line="376" w:lineRule="auto"/>
      <w:outlineLvl w:val="3"/>
    </w:pPr>
    <w:rPr>
      <w:rFonts w:ascii="Cambria" w:hAnsi="Cambria" w:eastAsia="宋体" w:cs="Times New Roman"/>
      <w:b/>
      <w:bCs/>
      <w:sz w:val="28"/>
      <w:szCs w:val="28"/>
    </w:rPr>
  </w:style>
  <w:style w:type="paragraph" w:styleId="8">
    <w:name w:val="heading 6"/>
    <w:basedOn w:val="1"/>
    <w:next w:val="1"/>
    <w:qFormat/>
    <w:uiPriority w:val="1"/>
    <w:pPr>
      <w:ind w:left="119"/>
      <w:outlineLvl w:val="5"/>
    </w:pPr>
    <w:rPr>
      <w:rFonts w:ascii="宋体" w:hAnsi="宋体" w:eastAsia="宋体"/>
      <w:b/>
      <w:bCs/>
      <w:sz w:val="21"/>
      <w:szCs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ind w:firstLine="645"/>
    </w:pPr>
    <w:rPr>
      <w:rFonts w:ascii="楷体_GB2312" w:eastAsia="楷体_GB2312"/>
      <w:sz w:val="32"/>
    </w:rPr>
  </w:style>
  <w:style w:type="paragraph" w:styleId="3">
    <w:name w:val="envelope return"/>
    <w:basedOn w:val="1"/>
    <w:qFormat/>
    <w:uiPriority w:val="0"/>
    <w:pPr>
      <w:snapToGrid w:val="0"/>
    </w:pPr>
    <w:rPr>
      <w:rFonts w:ascii="Arial" w:hAnsi="Arial"/>
    </w:rPr>
  </w:style>
  <w:style w:type="paragraph" w:styleId="9">
    <w:name w:val="toc 7"/>
    <w:basedOn w:val="1"/>
    <w:next w:val="1"/>
    <w:qFormat/>
    <w:uiPriority w:val="0"/>
    <w:pPr>
      <w:ind w:left="1260"/>
      <w:jc w:val="left"/>
    </w:pPr>
    <w:rPr>
      <w:szCs w:val="21"/>
    </w:rPr>
  </w:style>
  <w:style w:type="paragraph" w:styleId="10">
    <w:name w:val="Normal Indent"/>
    <w:basedOn w:val="1"/>
    <w:qFormat/>
    <w:uiPriority w:val="0"/>
    <w:pPr>
      <w:ind w:firstLine="420" w:firstLineChars="200"/>
    </w:pPr>
    <w:rPr>
      <w:sz w:val="28"/>
      <w:szCs w:val="28"/>
    </w:rPr>
  </w:style>
  <w:style w:type="paragraph" w:styleId="11">
    <w:name w:val="annotation text"/>
    <w:basedOn w:val="1"/>
    <w:next w:val="1"/>
    <w:semiHidden/>
    <w:unhideWhenUsed/>
    <w:qFormat/>
    <w:uiPriority w:val="99"/>
    <w:pPr>
      <w:jc w:val="left"/>
    </w:pPr>
    <w:rPr>
      <w:kern w:val="0"/>
      <w:sz w:val="20"/>
    </w:rPr>
  </w:style>
  <w:style w:type="paragraph" w:styleId="12">
    <w:name w:val="Body Text"/>
    <w:basedOn w:val="1"/>
    <w:qFormat/>
    <w:uiPriority w:val="1"/>
    <w:pPr>
      <w:autoSpaceDE w:val="0"/>
      <w:autoSpaceDN w:val="0"/>
      <w:jc w:val="left"/>
    </w:pPr>
    <w:rPr>
      <w:rFonts w:ascii="宋体" w:hAnsi="宋体" w:cs="宋体"/>
      <w:kern w:val="0"/>
      <w:sz w:val="24"/>
      <w:szCs w:val="24"/>
      <w:lang w:val="zh-CN" w:bidi="zh-CN"/>
    </w:rPr>
  </w:style>
  <w:style w:type="paragraph" w:styleId="13">
    <w:name w:val="Block Text"/>
    <w:basedOn w:val="1"/>
    <w:qFormat/>
    <w:uiPriority w:val="0"/>
    <w:pPr>
      <w:widowControl w:val="0"/>
      <w:adjustRightInd/>
      <w:snapToGrid/>
      <w:spacing w:after="120" w:line="360" w:lineRule="auto"/>
      <w:ind w:left="1440" w:leftChars="700" w:right="700" w:rightChars="700" w:firstLine="200" w:firstLineChars="200"/>
      <w:jc w:val="both"/>
    </w:pPr>
    <w:rPr>
      <w:rFonts w:ascii="Times New Roman" w:hAnsi="Times New Roman" w:eastAsia="宋体" w:cs="Times New Roman"/>
      <w:kern w:val="2"/>
      <w:sz w:val="24"/>
      <w:szCs w:val="20"/>
    </w:rPr>
  </w:style>
  <w:style w:type="paragraph" w:styleId="14">
    <w:name w:val="Plain Text"/>
    <w:basedOn w:val="1"/>
    <w:unhideWhenUsed/>
    <w:qFormat/>
    <w:uiPriority w:val="0"/>
    <w:rPr>
      <w:rFonts w:ascii="宋体" w:hAnsi="Courier New" w:eastAsia="宋体" w:cs="Times New Roman"/>
      <w:szCs w:val="22"/>
    </w:rPr>
  </w:style>
  <w:style w:type="paragraph" w:styleId="15">
    <w:name w:val="Body Text Indent 2"/>
    <w:basedOn w:val="1"/>
    <w:unhideWhenUsed/>
    <w:qFormat/>
    <w:uiPriority w:val="99"/>
    <w:pPr>
      <w:spacing w:after="120" w:line="480" w:lineRule="auto"/>
      <w:ind w:left="200" w:leftChars="200"/>
    </w:pPr>
    <w:rPr>
      <w:kern w:val="0"/>
      <w:sz w:val="20"/>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footnote text"/>
    <w:basedOn w:val="1"/>
    <w:unhideWhenUsed/>
    <w:qFormat/>
    <w:uiPriority w:val="99"/>
    <w:pPr>
      <w:snapToGrid w:val="0"/>
      <w:jc w:val="left"/>
    </w:pPr>
    <w:rPr>
      <w:sz w:val="18"/>
      <w:szCs w:val="18"/>
    </w:rPr>
  </w:style>
  <w:style w:type="paragraph" w:styleId="19">
    <w:name w:val="toc 2"/>
    <w:basedOn w:val="1"/>
    <w:next w:val="1"/>
    <w:qFormat/>
    <w:uiPriority w:val="0"/>
    <w:pPr>
      <w:tabs>
        <w:tab w:val="right" w:leader="dot" w:pos="8835"/>
      </w:tabs>
      <w:ind w:left="210"/>
      <w:jc w:val="left"/>
    </w:pPr>
    <w:rPr>
      <w:smallCaps/>
      <w:szCs w:val="21"/>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next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2">
    <w:name w:val="Body Text First Indent"/>
    <w:basedOn w:val="12"/>
    <w:qFormat/>
    <w:uiPriority w:val="0"/>
    <w:pPr>
      <w:spacing w:after="120" w:afterLines="0"/>
      <w:ind w:firstLine="420" w:firstLineChars="100"/>
    </w:pPr>
    <w:rPr>
      <w:rFonts w:ascii="Times New Roman" w:hAnsi="Times New Roman"/>
      <w:kern w:val="0"/>
      <w:sz w:val="32"/>
      <w:szCs w:val="24"/>
    </w:rPr>
  </w:style>
  <w:style w:type="paragraph" w:styleId="23">
    <w:name w:val="Body Text First Indent 2"/>
    <w:basedOn w:val="2"/>
    <w:next w:val="1"/>
    <w:unhideWhenUsed/>
    <w:qFormat/>
    <w:uiPriority w:val="0"/>
    <w:pPr>
      <w:spacing w:after="120" w:line="360" w:lineRule="auto"/>
      <w:ind w:left="420" w:leftChars="200" w:firstLine="420" w:firstLineChars="200"/>
    </w:pPr>
    <w:rPr>
      <w:rFonts w:ascii="Times New Roman" w:eastAsia="Times New Roman"/>
      <w:sz w:val="21"/>
      <w:szCs w:val="22"/>
    </w:r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qFormat/>
    <w:uiPriority w:val="0"/>
    <w:rPr>
      <w:rFonts w:hint="default" w:ascii="Times New Roman"/>
    </w:rPr>
  </w:style>
  <w:style w:type="character" w:styleId="28">
    <w:name w:val="Hyperlink"/>
    <w:qFormat/>
    <w:uiPriority w:val="99"/>
    <w:rPr>
      <w:color w:val="0000FF"/>
      <w:u w:val="none"/>
    </w:rPr>
  </w:style>
  <w:style w:type="character" w:styleId="29">
    <w:name w:val="annotation reference"/>
    <w:basedOn w:val="26"/>
    <w:qFormat/>
    <w:uiPriority w:val="0"/>
    <w:rPr>
      <w:sz w:val="21"/>
      <w:szCs w:val="21"/>
    </w:rPr>
  </w:style>
  <w:style w:type="character" w:styleId="30">
    <w:name w:val="footnote reference"/>
    <w:unhideWhenUsed/>
    <w:qFormat/>
    <w:uiPriority w:val="99"/>
    <w:rPr>
      <w:vertAlign w:val="superscript"/>
    </w:rPr>
  </w:style>
  <w:style w:type="paragraph" w:customStyle="1" w:styleId="31">
    <w:name w:val="正文_0"/>
    <w:next w:val="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BodyText1I2"/>
    <w:basedOn w:val="33"/>
    <w:qFormat/>
    <w:uiPriority w:val="0"/>
    <w:pPr>
      <w:ind w:left="420" w:firstLine="420" w:firstLineChars="200"/>
      <w:jc w:val="both"/>
      <w:textAlignment w:val="baseline"/>
    </w:pPr>
  </w:style>
  <w:style w:type="paragraph" w:customStyle="1" w:styleId="33">
    <w:name w:val="BodyTextIndent"/>
    <w:basedOn w:val="1"/>
    <w:next w:val="34"/>
    <w:qFormat/>
    <w:uiPriority w:val="0"/>
    <w:pPr>
      <w:ind w:firstLine="630"/>
      <w:jc w:val="both"/>
      <w:textAlignment w:val="baseline"/>
    </w:pPr>
    <w:rPr>
      <w:rFonts w:ascii="仿宋_GB2312" w:hAnsi="Times New Roman" w:eastAsia="仿宋_GB2312"/>
      <w:kern w:val="2"/>
      <w:sz w:val="30"/>
      <w:szCs w:val="20"/>
      <w:lang w:val="en-US" w:eastAsia="zh-CN" w:bidi="ar-SA"/>
    </w:rPr>
  </w:style>
  <w:style w:type="paragraph" w:customStyle="1" w:styleId="34">
    <w:name w:val="EnvelopeReturn"/>
    <w:basedOn w:val="1"/>
    <w:qFormat/>
    <w:uiPriority w:val="0"/>
    <w:pPr>
      <w:snapToGrid w:val="0"/>
      <w:jc w:val="both"/>
      <w:textAlignment w:val="baseline"/>
    </w:pPr>
    <w:rPr>
      <w:rFonts w:ascii="Arial" w:hAnsi="Arial" w:eastAsia="宋体"/>
      <w:kern w:val="2"/>
      <w:sz w:val="21"/>
      <w:szCs w:val="24"/>
      <w:lang w:val="en-US" w:eastAsia="zh-CN" w:bidi="ar-SA"/>
    </w:rPr>
  </w:style>
  <w:style w:type="paragraph" w:customStyle="1" w:styleId="35">
    <w:name w:val="首行缩进"/>
    <w:basedOn w:val="1"/>
    <w:qFormat/>
    <w:uiPriority w:val="0"/>
    <w:pPr>
      <w:ind w:firstLine="480" w:firstLineChars="200"/>
    </w:pPr>
    <w:rPr>
      <w:rFonts w:ascii="Calibri" w:hAnsi="Calibri" w:eastAsia="宋体" w:cs="Times New Roman"/>
      <w:lang w:val="zh-CN"/>
    </w:rPr>
  </w:style>
  <w:style w:type="character" w:customStyle="1" w:styleId="36">
    <w:name w:val="style3"/>
    <w:qFormat/>
    <w:uiPriority w:val="0"/>
  </w:style>
  <w:style w:type="paragraph" w:customStyle="1" w:styleId="37">
    <w:name w:val="Table Paragraph"/>
    <w:basedOn w:val="1"/>
    <w:qFormat/>
    <w:uiPriority w:val="1"/>
    <w:pPr>
      <w:autoSpaceDE w:val="0"/>
      <w:autoSpaceDN w:val="0"/>
      <w:jc w:val="left"/>
    </w:pPr>
    <w:rPr>
      <w:rFonts w:ascii="宋体" w:hAnsi="宋体" w:cs="宋体"/>
      <w:kern w:val="0"/>
      <w:sz w:val="22"/>
      <w:szCs w:val="22"/>
      <w:lang w:val="zh-CN" w:bidi="zh-CN"/>
    </w:rPr>
  </w:style>
  <w:style w:type="paragraph" w:styleId="38">
    <w:name w:val="List Paragraph"/>
    <w:basedOn w:val="1"/>
    <w:qFormat/>
    <w:uiPriority w:val="1"/>
    <w:pPr>
      <w:ind w:firstLine="420" w:firstLineChars="200"/>
    </w:pPr>
    <w:rPr>
      <w:rFonts w:ascii="Calibri" w:hAnsi="Calibri"/>
      <w:szCs w:val="22"/>
    </w:rPr>
  </w:style>
  <w:style w:type="paragraph" w:customStyle="1" w:styleId="39">
    <w:name w:val="标题 31"/>
    <w:basedOn w:val="1"/>
    <w:qFormat/>
    <w:uiPriority w:val="1"/>
    <w:pPr>
      <w:autoSpaceDE w:val="0"/>
      <w:autoSpaceDN w:val="0"/>
      <w:spacing w:before="132"/>
      <w:ind w:left="220"/>
      <w:jc w:val="left"/>
      <w:outlineLvl w:val="3"/>
    </w:pPr>
    <w:rPr>
      <w:rFonts w:ascii="宋体" w:hAnsi="宋体" w:cs="宋体"/>
      <w:b/>
      <w:bCs/>
      <w:kern w:val="0"/>
      <w:sz w:val="24"/>
      <w:szCs w:val="24"/>
      <w:lang w:val="zh-CN" w:bidi="zh-CN"/>
    </w:rPr>
  </w:style>
  <w:style w:type="paragraph" w:customStyle="1" w:styleId="40">
    <w:name w:val="p15"/>
    <w:basedOn w:val="1"/>
    <w:next w:val="11"/>
    <w:qFormat/>
    <w:uiPriority w:val="99"/>
    <w:pPr>
      <w:widowControl/>
    </w:pPr>
    <w:rPr>
      <w:kern w:val="0"/>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character" w:customStyle="1" w:styleId="42">
    <w:name w:val="NormalCharacter"/>
    <w:qFormat/>
    <w:uiPriority w:val="0"/>
  </w:style>
  <w:style w:type="paragraph" w:customStyle="1" w:styleId="43">
    <w:name w:val="Default"/>
    <w:qFormat/>
    <w:uiPriority w:val="0"/>
    <w:pPr>
      <w:widowControl w:val="0"/>
      <w:tabs>
        <w:tab w:val="left" w:pos="744"/>
        <w:tab w:val="left" w:pos="851"/>
      </w:tabs>
      <w:autoSpaceDE w:val="0"/>
      <w:autoSpaceDN w:val="0"/>
      <w:adjustRightInd w:val="0"/>
      <w:ind w:left="744" w:hanging="744"/>
    </w:pPr>
    <w:rPr>
      <w:rFonts w:ascii="Times New Roman" w:hAnsi="Times New Roman" w:eastAsia="宋体" w:cs="Times New Roman"/>
      <w:color w:val="000000"/>
      <w:sz w:val="24"/>
      <w:lang w:val="en-US" w:eastAsia="zh-CN" w:bidi="ar-SA"/>
    </w:rPr>
  </w:style>
  <w:style w:type="paragraph" w:customStyle="1" w:styleId="44">
    <w:name w:val="样式 标题 2 + Times New Roman 四号 非加粗 段前: 5 磅 段后: 0 磅 行距: 固定值 20..."/>
    <w:basedOn w:val="5"/>
    <w:qFormat/>
    <w:uiPriority w:val="0"/>
    <w:pPr>
      <w:spacing w:before="100" w:after="0" w:line="400" w:lineRule="exact"/>
      <w:ind w:firstLine="0"/>
      <w:jc w:val="both"/>
    </w:pPr>
    <w:rPr>
      <w:rFonts w:ascii="Times New Roman" w:hAnsi="Times New Roman" w:cs="宋体"/>
      <w:b w:val="0"/>
      <w:bCs w:val="0"/>
      <w:kern w:val="0"/>
      <w:sz w:val="28"/>
      <w:szCs w:val="20"/>
    </w:rPr>
  </w:style>
  <w:style w:type="paragraph" w:customStyle="1" w:styleId="45">
    <w:name w:val="Normal_5"/>
    <w:qFormat/>
    <w:uiPriority w:val="0"/>
    <w:rPr>
      <w:rFonts w:ascii="Times New Roman" w:hAnsi="Times New Roman" w:eastAsia="Times New Roman" w:cs="Times New Roman"/>
      <w:sz w:val="24"/>
      <w:szCs w:val="24"/>
      <w:lang w:val="en-US" w:eastAsia="zh-CN" w:bidi="ar-SA"/>
    </w:rPr>
  </w:style>
  <w:style w:type="paragraph" w:customStyle="1" w:styleId="46">
    <w:name w:val="正文1"/>
    <w:qFormat/>
    <w:uiPriority w:val="0"/>
    <w:pPr>
      <w:widowControl w:val="0"/>
      <w:suppressAutoHyphens w:val="0"/>
      <w:bidi w:val="0"/>
      <w:spacing w:beforeLines="0" w:afterLines="0"/>
      <w:jc w:val="both"/>
    </w:pPr>
    <w:rPr>
      <w:rFonts w:asciiTheme="minorHAnsi" w:hAnsiTheme="minorHAnsi" w:eastAsiaTheme="minorEastAsia" w:cstheme="minorBidi"/>
      <w:color w:val="auto"/>
      <w:kern w:val="2"/>
      <w:sz w:val="21"/>
      <w:szCs w:val="22"/>
      <w:lang w:val="en-US" w:eastAsia="zh-CN" w:bidi="ar-SA"/>
    </w:rPr>
  </w:style>
  <w:style w:type="paragraph" w:styleId="47">
    <w:name w:val="No Spacing"/>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48">
    <w:name w:val="标书表格，左对齐"/>
    <w:basedOn w:val="49"/>
    <w:qFormat/>
    <w:uiPriority w:val="0"/>
    <w:pPr>
      <w:jc w:val="both"/>
    </w:pPr>
    <w:rPr>
      <w:rFonts w:cs="Times New Roman"/>
    </w:rPr>
  </w:style>
  <w:style w:type="paragraph" w:customStyle="1" w:styleId="49">
    <w:name w:val="标书表格，居中"/>
    <w:basedOn w:val="1"/>
    <w:qFormat/>
    <w:uiPriority w:val="0"/>
    <w:pPr>
      <w:wordWrap w:val="0"/>
      <w:ind w:firstLine="0" w:firstLineChars="0"/>
      <w:jc w:val="center"/>
    </w:pPr>
    <w:rPr>
      <w:rFonts w:cs="Times New Roman"/>
      <w:kern w:val="0"/>
      <w:sz w:val="24"/>
      <w:szCs w:val="20"/>
    </w:rPr>
  </w:style>
  <w:style w:type="paragraph" w:customStyle="1" w:styleId="50">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1">
    <w:name w:val="Normal_7"/>
    <w:qFormat/>
    <w:uiPriority w:val="0"/>
    <w:rPr>
      <w:rFonts w:ascii="Times New Roman" w:hAnsi="Times New Roman" w:eastAsia="宋体" w:cs="Times New Roman"/>
      <w:sz w:val="21"/>
      <w:lang w:val="en-US" w:eastAsia="zh-CN" w:bidi="ar-SA"/>
    </w:rPr>
  </w:style>
  <w:style w:type="paragraph" w:customStyle="1" w:styleId="52">
    <w:name w:val="Body Text First Indent 21"/>
    <w:basedOn w:val="53"/>
    <w:qFormat/>
    <w:uiPriority w:val="0"/>
    <w:pPr>
      <w:ind w:left="420" w:firstLine="420" w:firstLineChars="200"/>
    </w:pPr>
    <w:rPr>
      <w:rFonts w:eastAsia="宋?"/>
    </w:rPr>
  </w:style>
  <w:style w:type="paragraph" w:customStyle="1" w:styleId="53">
    <w:name w:val="Body Text Indent1"/>
    <w:basedOn w:val="1"/>
    <w:next w:val="54"/>
    <w:qFormat/>
    <w:uiPriority w:val="0"/>
    <w:pPr>
      <w:ind w:left="200" w:leftChars="200"/>
    </w:pPr>
    <w:rPr>
      <w:szCs w:val="24"/>
    </w:rPr>
  </w:style>
  <w:style w:type="paragraph" w:customStyle="1" w:styleId="54">
    <w:name w:val="envelope return1"/>
    <w:basedOn w:val="1"/>
    <w:qFormat/>
    <w:uiPriority w:val="0"/>
    <w:pPr>
      <w:snapToGrid w:val="0"/>
    </w:pPr>
    <w:rPr>
      <w:rFonts w:ascii="Arial" w:hAnsi="Arial"/>
    </w:rPr>
  </w:style>
  <w:style w:type="character" w:customStyle="1" w:styleId="55">
    <w:name w:val="UserStyle_131"/>
    <w:qFormat/>
    <w:uiPriority w:val="0"/>
    <w:rPr>
      <w:rFonts w:ascii="Times New Roman" w:hAnsi="Times New Roman" w:eastAsia="宋体" w:cs="Times New Roman"/>
      <w:kern w:val="2"/>
      <w:sz w:val="21"/>
      <w:lang w:val="en-US" w:eastAsia="zh-CN" w:bidi="ar-SA"/>
    </w:rPr>
  </w:style>
  <w:style w:type="character" w:customStyle="1" w:styleId="56">
    <w:name w:val="标题 1 Char"/>
    <w:link w:val="4"/>
    <w:qFormat/>
    <w:uiPriority w:val="0"/>
    <w:rPr>
      <w:b/>
      <w:bCs/>
      <w:kern w:val="44"/>
      <w:sz w:val="44"/>
      <w:szCs w:val="44"/>
    </w:rPr>
  </w:style>
  <w:style w:type="paragraph" w:customStyle="1" w:styleId="57">
    <w:name w:val="Table Text"/>
    <w:basedOn w:val="1"/>
    <w:semiHidden/>
    <w:qFormat/>
    <w:uiPriority w:val="0"/>
    <w:rPr>
      <w:rFonts w:ascii="宋体" w:hAnsi="宋体" w:cs="宋体"/>
      <w:lang w:eastAsia="en-US"/>
    </w:r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_Style 18"/>
    <w:basedOn w:val="1"/>
    <w:next w:val="38"/>
    <w:qFormat/>
    <w:uiPriority w:val="1"/>
    <w:pPr>
      <w:autoSpaceDE w:val="0"/>
      <w:autoSpaceDN w:val="0"/>
      <w:ind w:left="234" w:firstLine="434"/>
      <w:jc w:val="left"/>
    </w:pPr>
    <w:rPr>
      <w:rFonts w:ascii="宋体" w:hAnsi="宋体" w:cs="宋体"/>
      <w:kern w:val="0"/>
      <w:sz w:val="22"/>
      <w:szCs w:val="22"/>
      <w:lang w:val="zh-CN" w:bidi="zh-CN"/>
    </w:rPr>
  </w:style>
  <w:style w:type="paragraph" w:customStyle="1" w:styleId="60">
    <w:name w:val="06院内正文"/>
    <w:basedOn w:val="1"/>
    <w:qFormat/>
    <w:uiPriority w:val="0"/>
    <w:pPr>
      <w:spacing w:line="600" w:lineRule="exact"/>
      <w:ind w:firstLine="560"/>
    </w:pPr>
    <w:rPr>
      <w:rFonts w:ascii="Times New Roman" w:hAnsi="Times New Roman" w:eastAsia="宋体" w:cs="Times New Roman"/>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4614</Words>
  <Characters>4968</Characters>
  <Lines>0</Lines>
  <Paragraphs>0</Paragraphs>
  <TotalTime>25</TotalTime>
  <ScaleCrop>false</ScaleCrop>
  <LinksUpToDate>false</LinksUpToDate>
  <CharactersWithSpaces>5197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2021-04-01T01:11:00Z</dcterms:created>
  <dc:creator>NTKO</dc:creator>
  <cp:lastModifiedBy>ZX</cp:lastModifiedBy>
  <cp:lastPrinted>2025-05-21T06:26:00Z</cp:lastPrinted>
  <dcterms:modified xsi:type="dcterms:W3CDTF">2026-07-01T06:50:40Z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8C37588C4A244E92A567E6BE6774B327_13</vt:lpwstr>
  </property>
  <property fmtid="{D5CDD505-2E9C-101B-9397-08002B2CF9AE}" pid="4" name="KSOTemplateDocerSaveRecord">
    <vt:lpwstr>eyJoZGlkIjoiNWUzYjZlMzlkZDA0MjEyMTAzNGRkMzNjY2VhZTcxNzciLCJ1c2VySWQiOiIzNzQ2OTQ1MDcifQ==</vt:lpwstr>
  </property>
</Properties>
</file>